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EF1F57">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default" w:ascii="Times New Roman" w:hAnsi="Times New Roman" w:cs="Times New Roman"/>
          <w:b/>
          <w:bCs/>
          <w:sz w:val="32"/>
          <w:szCs w:val="32"/>
          <w:lang w:eastAsia="zh-CN"/>
        </w:rPr>
      </w:pPr>
    </w:p>
    <w:p w14:paraId="5A452641">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default" w:ascii="Times New Roman" w:hAnsi="Times New Roman" w:cs="Times New Roman"/>
          <w:b/>
          <w:bCs/>
          <w:sz w:val="32"/>
          <w:szCs w:val="32"/>
          <w:lang w:eastAsia="zh-CN"/>
        </w:rPr>
      </w:pPr>
      <w:r>
        <w:rPr>
          <w:rFonts w:hint="eastAsia" w:ascii="Times New Roman" w:hAnsi="Times New Roman" w:cs="Times New Roman"/>
          <w:b/>
          <w:bCs/>
          <w:sz w:val="32"/>
          <w:szCs w:val="32"/>
          <w:lang w:val="en-US" w:eastAsia="zh-CN"/>
        </w:rPr>
        <w:t>安徽伽雅生态工程有限公司</w:t>
      </w:r>
      <w:r>
        <w:rPr>
          <w:rFonts w:hint="eastAsia" w:ascii="Times New Roman" w:hAnsi="Times New Roman" w:cs="Times New Roman"/>
          <w:b/>
          <w:bCs/>
          <w:sz w:val="32"/>
          <w:szCs w:val="32"/>
          <w:lang w:eastAsia="zh-CN"/>
        </w:rPr>
        <w:t>年产10万吨新型肥料工艺升级及年产2万吨液体肥料改扩建项目</w:t>
      </w:r>
    </w:p>
    <w:p w14:paraId="741C21AA">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Times New Roman" w:hAnsi="Times New Roman" w:cs="Times New Roman"/>
          <w:b/>
          <w:bCs/>
          <w:sz w:val="32"/>
          <w:szCs w:val="32"/>
          <w:lang w:eastAsia="zh-CN"/>
        </w:rPr>
      </w:pPr>
      <w:r>
        <w:rPr>
          <w:rFonts w:hint="eastAsia" w:ascii="Times New Roman" w:hAnsi="Times New Roman" w:cs="Times New Roman"/>
          <w:b/>
          <w:bCs/>
          <w:sz w:val="32"/>
          <w:szCs w:val="32"/>
          <w:lang w:eastAsia="zh-CN"/>
        </w:rPr>
        <w:t>非重大变动环境影响分析说明</w:t>
      </w:r>
    </w:p>
    <w:p w14:paraId="45063AA2">
      <w:pPr>
        <w:pStyle w:val="10"/>
        <w:rPr>
          <w:rFonts w:hint="eastAsia" w:ascii="Times New Roman" w:hAnsi="Times New Roman" w:cs="Times New Roman"/>
          <w:b/>
          <w:bCs/>
          <w:sz w:val="32"/>
          <w:szCs w:val="32"/>
          <w:lang w:eastAsia="zh-CN"/>
        </w:rPr>
      </w:pPr>
    </w:p>
    <w:p w14:paraId="5851E76A">
      <w:pPr>
        <w:pStyle w:val="5"/>
        <w:rPr>
          <w:rFonts w:hint="eastAsia" w:ascii="Times New Roman" w:hAnsi="Times New Roman" w:cs="Times New Roman"/>
          <w:b/>
          <w:bCs/>
          <w:sz w:val="32"/>
          <w:szCs w:val="32"/>
          <w:lang w:eastAsia="zh-CN"/>
        </w:rPr>
      </w:pPr>
    </w:p>
    <w:p w14:paraId="41259ED3">
      <w:pPr>
        <w:rPr>
          <w:rFonts w:hint="eastAsia" w:ascii="Times New Roman" w:hAnsi="Times New Roman" w:cs="Times New Roman"/>
          <w:b/>
          <w:bCs/>
          <w:sz w:val="32"/>
          <w:szCs w:val="32"/>
          <w:lang w:eastAsia="zh-CN"/>
        </w:rPr>
      </w:pPr>
    </w:p>
    <w:p w14:paraId="731FF408">
      <w:pPr>
        <w:pStyle w:val="10"/>
        <w:rPr>
          <w:rFonts w:hint="eastAsia" w:ascii="Times New Roman" w:hAnsi="Times New Roman" w:cs="Times New Roman"/>
          <w:b/>
          <w:bCs/>
          <w:sz w:val="32"/>
          <w:szCs w:val="32"/>
          <w:lang w:eastAsia="zh-CN"/>
        </w:rPr>
      </w:pPr>
    </w:p>
    <w:p w14:paraId="160E014A">
      <w:pPr>
        <w:pStyle w:val="5"/>
        <w:rPr>
          <w:rFonts w:hint="eastAsia" w:ascii="Times New Roman" w:hAnsi="Times New Roman" w:cs="Times New Roman"/>
          <w:b/>
          <w:bCs/>
          <w:sz w:val="32"/>
          <w:szCs w:val="32"/>
          <w:lang w:eastAsia="zh-CN"/>
        </w:rPr>
      </w:pPr>
    </w:p>
    <w:p w14:paraId="231402E9">
      <w:pPr>
        <w:rPr>
          <w:rFonts w:hint="eastAsia" w:ascii="Times New Roman" w:hAnsi="Times New Roman" w:cs="Times New Roman"/>
          <w:b/>
          <w:bCs/>
          <w:sz w:val="32"/>
          <w:szCs w:val="32"/>
          <w:lang w:eastAsia="zh-CN"/>
        </w:rPr>
      </w:pPr>
    </w:p>
    <w:p w14:paraId="22B0518E">
      <w:pPr>
        <w:pStyle w:val="10"/>
        <w:rPr>
          <w:rFonts w:hint="eastAsia" w:ascii="Times New Roman" w:hAnsi="Times New Roman" w:cs="Times New Roman"/>
          <w:b/>
          <w:bCs/>
          <w:sz w:val="32"/>
          <w:szCs w:val="32"/>
          <w:lang w:eastAsia="zh-CN"/>
        </w:rPr>
      </w:pPr>
    </w:p>
    <w:p w14:paraId="16D4477D">
      <w:pPr>
        <w:pStyle w:val="5"/>
        <w:rPr>
          <w:rFonts w:hint="eastAsia" w:ascii="Times New Roman" w:hAnsi="Times New Roman" w:cs="Times New Roman"/>
          <w:b/>
          <w:bCs/>
          <w:sz w:val="32"/>
          <w:szCs w:val="32"/>
          <w:lang w:eastAsia="zh-CN"/>
        </w:rPr>
      </w:pPr>
    </w:p>
    <w:p w14:paraId="38EA9CB0">
      <w:pPr>
        <w:rPr>
          <w:rFonts w:hint="eastAsia" w:ascii="Times New Roman" w:hAnsi="Times New Roman" w:cs="Times New Roman"/>
          <w:b/>
          <w:bCs/>
          <w:sz w:val="32"/>
          <w:szCs w:val="32"/>
          <w:lang w:eastAsia="zh-CN"/>
        </w:rPr>
      </w:pPr>
    </w:p>
    <w:p w14:paraId="67D00176">
      <w:pPr>
        <w:pStyle w:val="10"/>
        <w:rPr>
          <w:rFonts w:hint="eastAsia" w:ascii="Times New Roman" w:hAnsi="Times New Roman" w:cs="Times New Roman"/>
          <w:b/>
          <w:bCs/>
          <w:sz w:val="32"/>
          <w:szCs w:val="32"/>
          <w:lang w:eastAsia="zh-CN"/>
        </w:rPr>
      </w:pPr>
    </w:p>
    <w:p w14:paraId="6989B9B9">
      <w:pPr>
        <w:pStyle w:val="5"/>
        <w:rPr>
          <w:rFonts w:hint="eastAsia" w:ascii="Times New Roman" w:hAnsi="Times New Roman" w:cs="Times New Roman"/>
          <w:b/>
          <w:bCs/>
          <w:sz w:val="32"/>
          <w:szCs w:val="32"/>
          <w:lang w:eastAsia="zh-CN"/>
        </w:rPr>
      </w:pPr>
    </w:p>
    <w:p w14:paraId="6472E32F">
      <w:pPr>
        <w:rPr>
          <w:rFonts w:hint="eastAsia" w:ascii="Times New Roman" w:hAnsi="Times New Roman" w:cs="Times New Roman"/>
          <w:b/>
          <w:bCs/>
          <w:sz w:val="32"/>
          <w:szCs w:val="32"/>
          <w:lang w:eastAsia="zh-CN"/>
        </w:rPr>
      </w:pPr>
    </w:p>
    <w:p w14:paraId="4D9049FC">
      <w:pPr>
        <w:pStyle w:val="10"/>
        <w:rPr>
          <w:rFonts w:hint="eastAsia" w:ascii="Times New Roman" w:hAnsi="Times New Roman" w:cs="Times New Roman"/>
          <w:b/>
          <w:bCs/>
          <w:sz w:val="32"/>
          <w:szCs w:val="32"/>
          <w:lang w:eastAsia="zh-CN"/>
        </w:rPr>
      </w:pPr>
    </w:p>
    <w:p w14:paraId="3059D900">
      <w:pPr>
        <w:pStyle w:val="5"/>
        <w:rPr>
          <w:rFonts w:hint="eastAsia" w:ascii="Times New Roman" w:hAnsi="Times New Roman" w:cs="Times New Roman"/>
          <w:b/>
          <w:bCs/>
          <w:sz w:val="32"/>
          <w:szCs w:val="32"/>
          <w:lang w:eastAsia="zh-CN"/>
        </w:rPr>
      </w:pPr>
    </w:p>
    <w:p w14:paraId="6CE2139E">
      <w:pPr>
        <w:pStyle w:val="10"/>
        <w:jc w:val="center"/>
        <w:rPr>
          <w:rFonts w:hint="eastAsia" w:ascii="Times New Roman" w:hAnsi="Times New Roman" w:cs="Times New Roman"/>
          <w:b/>
          <w:bCs/>
          <w:sz w:val="32"/>
          <w:szCs w:val="32"/>
          <w:lang w:eastAsia="zh-CN"/>
        </w:rPr>
      </w:pPr>
      <w:r>
        <w:rPr>
          <w:rFonts w:hint="eastAsia" w:ascii="Times New Roman" w:hAnsi="Times New Roman" w:cs="Times New Roman"/>
          <w:b/>
          <w:bCs/>
          <w:sz w:val="32"/>
          <w:szCs w:val="32"/>
          <w:lang w:val="en-US" w:eastAsia="zh-CN"/>
        </w:rPr>
        <w:t>建设单位：</w:t>
      </w:r>
      <w:r>
        <w:rPr>
          <w:rFonts w:hint="eastAsia" w:ascii="Times New Roman" w:hAnsi="Times New Roman" w:cs="Times New Roman"/>
          <w:b/>
          <w:bCs/>
          <w:sz w:val="32"/>
          <w:szCs w:val="32"/>
          <w:lang w:eastAsia="zh-CN"/>
        </w:rPr>
        <w:t>安徽伽雅生态工程有限公司</w:t>
      </w:r>
    </w:p>
    <w:p w14:paraId="525B8287">
      <w:pPr>
        <w:pStyle w:val="10"/>
        <w:jc w:val="center"/>
        <w:rPr>
          <w:rFonts w:hint="default" w:ascii="Times New Roman" w:hAnsi="Times New Roman" w:cs="Times New Roman"/>
          <w:b/>
          <w:bCs/>
          <w:sz w:val="32"/>
          <w:szCs w:val="32"/>
          <w:lang w:val="en-US" w:eastAsia="zh-CN"/>
        </w:rPr>
      </w:pPr>
      <w:r>
        <w:rPr>
          <w:rFonts w:hint="eastAsia" w:ascii="Times New Roman" w:hAnsi="Times New Roman" w:cs="Times New Roman"/>
          <w:b/>
          <w:bCs/>
          <w:sz w:val="32"/>
          <w:szCs w:val="32"/>
          <w:lang w:val="en-US" w:eastAsia="zh-CN"/>
        </w:rPr>
        <w:t>编制单位：芜湖大唐企业管理</w:t>
      </w:r>
      <w:bookmarkStart w:id="1" w:name="_GoBack"/>
      <w:bookmarkEnd w:id="1"/>
      <w:r>
        <w:rPr>
          <w:rFonts w:hint="eastAsia" w:ascii="Times New Roman" w:hAnsi="Times New Roman" w:cs="Times New Roman"/>
          <w:b/>
          <w:bCs/>
          <w:sz w:val="32"/>
          <w:szCs w:val="32"/>
          <w:lang w:val="en-US" w:eastAsia="zh-CN"/>
        </w:rPr>
        <w:t>咨询有限公司</w:t>
      </w:r>
    </w:p>
    <w:p w14:paraId="1004C0BC">
      <w:pPr>
        <w:pStyle w:val="10"/>
        <w:jc w:val="center"/>
        <w:rPr>
          <w:rFonts w:hint="default" w:ascii="Times New Roman" w:hAnsi="Times New Roman" w:cs="Times New Roman"/>
          <w:b/>
          <w:bCs/>
          <w:sz w:val="32"/>
          <w:szCs w:val="32"/>
          <w:lang w:eastAsia="zh-CN"/>
        </w:rPr>
      </w:pPr>
      <w:r>
        <w:rPr>
          <w:rFonts w:hint="eastAsia" w:ascii="Times New Roman" w:hAnsi="Times New Roman" w:cs="Times New Roman"/>
          <w:b/>
          <w:bCs/>
          <w:sz w:val="32"/>
          <w:szCs w:val="32"/>
          <w:lang w:eastAsia="zh-CN"/>
        </w:rPr>
        <w:t>二〇二四年</w:t>
      </w:r>
      <w:r>
        <w:rPr>
          <w:rFonts w:hint="eastAsia" w:ascii="Times New Roman" w:hAnsi="Times New Roman" w:cs="Times New Roman"/>
          <w:b/>
          <w:bCs/>
          <w:sz w:val="32"/>
          <w:szCs w:val="32"/>
          <w:lang w:val="en-US" w:eastAsia="zh-CN"/>
        </w:rPr>
        <w:t>九</w:t>
      </w:r>
      <w:r>
        <w:rPr>
          <w:rFonts w:hint="eastAsia" w:ascii="Times New Roman" w:hAnsi="Times New Roman" w:cs="Times New Roman"/>
          <w:b/>
          <w:bCs/>
          <w:sz w:val="32"/>
          <w:szCs w:val="32"/>
          <w:lang w:eastAsia="zh-CN"/>
        </w:rPr>
        <w:t>月</w:t>
      </w:r>
    </w:p>
    <w:p w14:paraId="57B4726D">
      <w:pPr>
        <w:pStyle w:val="5"/>
        <w:rPr>
          <w:rFonts w:hint="default"/>
          <w:lang w:val="en-US" w:eastAsia="zh-CN"/>
        </w:rPr>
        <w:sectPr>
          <w:pgSz w:w="11906" w:h="16838"/>
          <w:pgMar w:top="1701" w:right="1440" w:bottom="1701" w:left="1531" w:header="851" w:footer="992" w:gutter="0"/>
          <w:cols w:space="425" w:num="1"/>
          <w:docGrid w:type="lines" w:linePitch="312" w:charSpace="0"/>
        </w:sectPr>
      </w:pPr>
    </w:p>
    <w:p w14:paraId="6515053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jc w:val="both"/>
        <w:textAlignment w:val="auto"/>
        <w:outlineLvl w:val="0"/>
        <w:rPr>
          <w:rFonts w:hint="eastAsia" w:ascii="Times New Roman" w:hAnsi="Times New Roman" w:cs="Times New Roman"/>
          <w:b/>
          <w:bCs/>
          <w:sz w:val="28"/>
          <w:szCs w:val="36"/>
          <w:lang w:eastAsia="zh-CN"/>
        </w:rPr>
      </w:pPr>
      <w:r>
        <w:rPr>
          <w:rFonts w:hint="eastAsia" w:ascii="Times New Roman" w:hAnsi="Times New Roman" w:cs="Times New Roman"/>
          <w:b/>
          <w:bCs/>
          <w:sz w:val="28"/>
          <w:szCs w:val="36"/>
          <w:lang w:eastAsia="zh-CN"/>
        </w:rPr>
        <w:t>一、项目变动情况</w:t>
      </w:r>
    </w:p>
    <w:p w14:paraId="47CFBEC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outlineLvl w:val="1"/>
        <w:rPr>
          <w:rFonts w:hint="default" w:ascii="Times New Roman" w:hAnsi="Times New Roman" w:cs="Times New Roman"/>
          <w:b/>
          <w:bCs/>
          <w:sz w:val="24"/>
          <w:szCs w:val="32"/>
          <w:lang w:val="en-US" w:eastAsia="zh-CN"/>
        </w:rPr>
      </w:pPr>
      <w:r>
        <w:rPr>
          <w:rFonts w:hint="eastAsia" w:ascii="Times New Roman" w:hAnsi="Times New Roman" w:cs="Times New Roman"/>
          <w:b/>
          <w:bCs/>
          <w:sz w:val="24"/>
          <w:szCs w:val="32"/>
          <w:lang w:val="en-US" w:eastAsia="zh-CN"/>
        </w:rPr>
        <w:t>1.1项目建设概况</w:t>
      </w:r>
    </w:p>
    <w:p w14:paraId="506DD88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smallCaps w:val="0"/>
          <w:color w:val="auto"/>
          <w:sz w:val="24"/>
          <w:highlight w:val="none"/>
          <w:lang w:val="en-US" w:eastAsia="zh-CN"/>
        </w:rPr>
      </w:pPr>
      <w:r>
        <w:rPr>
          <w:rFonts w:hint="default" w:ascii="Times New Roman" w:hAnsi="Times New Roman" w:eastAsia="宋体" w:cs="Times New Roman"/>
          <w:smallCaps w:val="0"/>
          <w:color w:val="auto"/>
          <w:sz w:val="24"/>
          <w:highlight w:val="none"/>
          <w:lang w:val="en-US" w:eastAsia="zh-CN"/>
        </w:rPr>
        <w:t>安徽伽雅生态工程有限公司原名为安徽固美生态农业科技有限公司，公司成立于2015年12月02日，位于宣城高新技术产业开发区松泉西路9号，</w:t>
      </w:r>
      <w:r>
        <w:rPr>
          <w:rFonts w:hint="eastAsia" w:ascii="Times New Roman" w:hAnsi="Times New Roman" w:eastAsia="宋体" w:cs="Times New Roman"/>
          <w:smallCaps w:val="0"/>
          <w:color w:val="auto"/>
          <w:sz w:val="24"/>
          <w:highlight w:val="none"/>
          <w:lang w:val="en-US" w:eastAsia="zh-CN"/>
        </w:rPr>
        <w:t>占地面积</w:t>
      </w:r>
      <w:r>
        <w:rPr>
          <w:rFonts w:hint="default" w:ascii="Times New Roman" w:hAnsi="Times New Roman" w:cs="Times New Roman"/>
          <w:color w:val="auto"/>
          <w:sz w:val="24"/>
          <w:highlight w:val="none"/>
          <w:lang w:val="en-US" w:eastAsia="zh-CN"/>
        </w:rPr>
        <w:t>50365</w:t>
      </w:r>
      <w:r>
        <w:rPr>
          <w:rFonts w:hint="default" w:ascii="Times New Roman" w:hAnsi="Times New Roman" w:eastAsia="宋体" w:cs="Times New Roman"/>
          <w:color w:val="auto"/>
          <w:sz w:val="24"/>
          <w:highlight w:val="none"/>
        </w:rPr>
        <w:t>m</w:t>
      </w:r>
      <w:r>
        <w:rPr>
          <w:rFonts w:hint="default" w:ascii="Times New Roman" w:hAnsi="Times New Roman" w:eastAsia="宋体" w:cs="Times New Roman"/>
          <w:color w:val="auto"/>
          <w:sz w:val="24"/>
          <w:highlight w:val="none"/>
          <w:vertAlign w:val="superscript"/>
        </w:rPr>
        <w:t>2</w:t>
      </w:r>
      <w:r>
        <w:rPr>
          <w:rFonts w:hint="default" w:ascii="Times New Roman" w:hAnsi="Times New Roman" w:eastAsia="宋体" w:cs="Times New Roman"/>
          <w:color w:val="auto"/>
          <w:sz w:val="24"/>
          <w:highlight w:val="none"/>
        </w:rPr>
        <w:t>，</w:t>
      </w:r>
      <w:r>
        <w:rPr>
          <w:rFonts w:hint="default" w:ascii="Times New Roman" w:hAnsi="Times New Roman" w:eastAsia="宋体" w:cs="Times New Roman"/>
          <w:smallCaps w:val="0"/>
          <w:color w:val="auto"/>
          <w:sz w:val="24"/>
          <w:highlight w:val="none"/>
          <w:lang w:val="en-US" w:eastAsia="zh-CN"/>
        </w:rPr>
        <w:t>主要经营复混肥料（复合肥料）、水溶性肥料等研发、生产、销售。</w:t>
      </w:r>
    </w:p>
    <w:p w14:paraId="2D98EA3C">
      <w:pPr>
        <w:snapToGrid w:val="0"/>
        <w:spacing w:line="360" w:lineRule="auto"/>
        <w:ind w:firstLine="480" w:firstLineChars="200"/>
        <w:rPr>
          <w:rFonts w:hint="default" w:eastAsia="宋体"/>
          <w:color w:val="auto"/>
          <w:sz w:val="24"/>
          <w:szCs w:val="20"/>
          <w:lang w:val="en-US" w:eastAsia="zh-CN"/>
        </w:rPr>
      </w:pPr>
      <w:r>
        <w:rPr>
          <w:rFonts w:hint="eastAsia" w:ascii="Times New Roman" w:hAnsi="Times New Roman"/>
          <w:color w:val="auto"/>
          <w:sz w:val="24"/>
          <w:lang w:val="en-US" w:eastAsia="zh-CN"/>
        </w:rPr>
        <w:t>2023年，</w:t>
      </w:r>
      <w:r>
        <w:rPr>
          <w:rFonts w:hint="eastAsia" w:ascii="Times New Roman" w:hAnsi="Times New Roman"/>
          <w:color w:val="auto"/>
          <w:sz w:val="24"/>
          <w:szCs w:val="24"/>
        </w:rPr>
        <w:t>企业投资</w:t>
      </w:r>
      <w:r>
        <w:rPr>
          <w:rFonts w:hint="eastAsia" w:ascii="Times New Roman" w:hAnsi="Times New Roman"/>
          <w:color w:val="auto"/>
          <w:sz w:val="24"/>
          <w:szCs w:val="24"/>
          <w:lang w:val="en-US" w:eastAsia="zh-CN"/>
        </w:rPr>
        <w:t>1000</w:t>
      </w:r>
      <w:r>
        <w:rPr>
          <w:rFonts w:hint="eastAsia" w:ascii="Times New Roman" w:hAnsi="Times New Roman"/>
          <w:color w:val="auto"/>
          <w:sz w:val="24"/>
          <w:szCs w:val="24"/>
        </w:rPr>
        <w:t>万元</w:t>
      </w:r>
      <w:r>
        <w:rPr>
          <w:rFonts w:hint="eastAsia" w:ascii="Times New Roman" w:hAnsi="Times New Roman"/>
          <w:color w:val="auto"/>
          <w:sz w:val="24"/>
          <w:szCs w:val="24"/>
          <w:lang w:eastAsia="zh-CN"/>
        </w:rPr>
        <w:t>建设</w:t>
      </w:r>
      <w:r>
        <w:rPr>
          <w:rFonts w:hint="eastAsia" w:ascii="Times New Roman" w:hAnsi="Times New Roman"/>
          <w:color w:val="auto"/>
          <w:sz w:val="24"/>
          <w:szCs w:val="24"/>
        </w:rPr>
        <w:t>“</w:t>
      </w:r>
      <w:r>
        <w:rPr>
          <w:rFonts w:hint="eastAsia" w:ascii="Times New Roman" w:hAnsi="Times New Roman"/>
          <w:color w:val="auto"/>
          <w:sz w:val="24"/>
          <w:szCs w:val="24"/>
          <w:lang w:eastAsia="zh-CN"/>
        </w:rPr>
        <w:t>年产10万吨新型肥料工艺升级及年产2万吨液体肥料改扩建项目</w:t>
      </w:r>
      <w:r>
        <w:rPr>
          <w:rFonts w:hint="eastAsia" w:ascii="Times New Roman" w:hAnsi="Times New Roman"/>
          <w:color w:val="auto"/>
          <w:sz w:val="24"/>
          <w:szCs w:val="24"/>
        </w:rPr>
        <w:t>”，</w:t>
      </w:r>
      <w:r>
        <w:rPr>
          <w:rFonts w:hint="eastAsia" w:ascii="Times New Roman" w:hAnsi="Times New Roman"/>
          <w:color w:val="auto"/>
          <w:sz w:val="24"/>
          <w:szCs w:val="24"/>
          <w:highlight w:val="none"/>
        </w:rPr>
        <w:t>项目已</w:t>
      </w:r>
      <w:r>
        <w:rPr>
          <w:rFonts w:hint="eastAsia" w:ascii="Times New Roman" w:hAnsi="Times New Roman"/>
          <w:color w:val="auto"/>
          <w:sz w:val="24"/>
          <w:szCs w:val="24"/>
          <w:highlight w:val="none"/>
          <w:lang w:eastAsia="zh-CN"/>
        </w:rPr>
        <w:t>于</w:t>
      </w:r>
      <w:r>
        <w:rPr>
          <w:rFonts w:hint="default" w:ascii="Times New Roman" w:hAnsi="Times New Roman" w:cs="Times New Roman"/>
          <w:color w:val="auto"/>
          <w:spacing w:val="3"/>
          <w:sz w:val="24"/>
          <w:highlight w:val="none"/>
          <w:lang w:val="en-US" w:eastAsia="zh-CN"/>
        </w:rPr>
        <w:t>2023年5月17日</w:t>
      </w:r>
      <w:r>
        <w:rPr>
          <w:rFonts w:hint="default" w:ascii="Times New Roman" w:hAnsi="Times New Roman" w:eastAsia="宋体" w:cs="Times New Roman"/>
          <w:color w:val="auto"/>
          <w:spacing w:val="3"/>
          <w:sz w:val="24"/>
          <w:highlight w:val="none"/>
          <w:lang w:val="en-US" w:eastAsia="zh-CN"/>
        </w:rPr>
        <w:t>取得安徽宣城高新技术产业开发区管理委员会的项目备案表（</w:t>
      </w:r>
      <w:r>
        <w:rPr>
          <w:rFonts w:hint="default" w:ascii="Times New Roman" w:hAnsi="Times New Roman" w:cs="Times New Roman"/>
          <w:color w:val="auto"/>
          <w:spacing w:val="3"/>
          <w:sz w:val="24"/>
          <w:highlight w:val="none"/>
          <w:lang w:val="en-US" w:eastAsia="zh-CN"/>
        </w:rPr>
        <w:t>备案证号：高新技改[2023]6号，</w:t>
      </w:r>
      <w:r>
        <w:rPr>
          <w:rFonts w:hint="default" w:ascii="Times New Roman" w:hAnsi="Times New Roman" w:eastAsia="宋体" w:cs="Times New Roman"/>
          <w:color w:val="auto"/>
          <w:spacing w:val="3"/>
          <w:sz w:val="24"/>
          <w:highlight w:val="none"/>
          <w:lang w:val="en-US" w:eastAsia="zh-CN"/>
        </w:rPr>
        <w:t>项目代码：2305-341802-07-02-713794）</w:t>
      </w:r>
      <w:r>
        <w:rPr>
          <w:rFonts w:hint="eastAsia" w:ascii="Times New Roman" w:hAnsi="Times New Roman"/>
          <w:color w:val="auto"/>
          <w:sz w:val="24"/>
          <w:highlight w:val="none"/>
          <w:lang w:val="en-US" w:eastAsia="zh-CN"/>
        </w:rPr>
        <w:t>，并</w:t>
      </w:r>
      <w:r>
        <w:rPr>
          <w:rFonts w:hint="eastAsia" w:ascii="Times New Roman" w:hAnsi="Times New Roman"/>
          <w:color w:val="auto"/>
          <w:sz w:val="24"/>
          <w:highlight w:val="none"/>
          <w:lang w:eastAsia="zh-CN"/>
        </w:rPr>
        <w:t>于</w:t>
      </w:r>
      <w:r>
        <w:rPr>
          <w:rFonts w:hint="eastAsia" w:ascii="Times New Roman" w:hAnsi="Times New Roman"/>
          <w:color w:val="auto"/>
          <w:sz w:val="24"/>
          <w:highlight w:val="none"/>
          <w:lang w:val="en-US" w:eastAsia="zh-CN"/>
        </w:rPr>
        <w:t>2024年3月22日取得宣城市生态环境局的环评批复（宣环评[2024]15号）。</w:t>
      </w:r>
    </w:p>
    <w:p w14:paraId="426399E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outlineLvl w:val="1"/>
        <w:rPr>
          <w:rFonts w:hint="eastAsia" w:ascii="Times New Roman" w:hAnsi="Times New Roman" w:cs="Times New Roman"/>
          <w:b/>
          <w:bCs/>
          <w:sz w:val="24"/>
          <w:szCs w:val="32"/>
          <w:lang w:val="en-US" w:eastAsia="zh-CN"/>
        </w:rPr>
      </w:pPr>
      <w:r>
        <w:rPr>
          <w:rFonts w:hint="eastAsia" w:ascii="Times New Roman" w:hAnsi="Times New Roman" w:cs="Times New Roman"/>
          <w:b/>
          <w:bCs/>
          <w:sz w:val="24"/>
          <w:szCs w:val="32"/>
          <w:lang w:val="en-US" w:eastAsia="zh-CN"/>
        </w:rPr>
        <w:t>1.2环评批复及落实情况</w:t>
      </w:r>
    </w:p>
    <w:p w14:paraId="05091146">
      <w:pPr>
        <w:snapToGrid w:val="0"/>
        <w:spacing w:line="360" w:lineRule="auto"/>
        <w:ind w:firstLine="480" w:firstLineChars="200"/>
        <w:rPr>
          <w:rFonts w:hint="eastAsia" w:ascii="Times New Roman" w:hAnsi="Times New Roman"/>
          <w:color w:val="auto"/>
          <w:sz w:val="24"/>
          <w:szCs w:val="24"/>
        </w:rPr>
      </w:pPr>
      <w:r>
        <w:rPr>
          <w:rFonts w:hint="eastAsia" w:ascii="Times New Roman" w:hAnsi="Times New Roman"/>
          <w:color w:val="auto"/>
          <w:sz w:val="24"/>
          <w:szCs w:val="24"/>
        </w:rPr>
        <w:t>“</w:t>
      </w:r>
      <w:r>
        <w:rPr>
          <w:rFonts w:hint="eastAsia" w:ascii="Times New Roman" w:hAnsi="Times New Roman"/>
          <w:color w:val="auto"/>
          <w:sz w:val="24"/>
          <w:szCs w:val="24"/>
          <w:lang w:eastAsia="zh-CN"/>
        </w:rPr>
        <w:t>年产10万吨新型肥料工艺升级及年产2万吨液体肥料改扩建项目</w:t>
      </w:r>
      <w:r>
        <w:rPr>
          <w:rFonts w:hint="eastAsia" w:ascii="Times New Roman" w:hAnsi="Times New Roman"/>
          <w:color w:val="auto"/>
          <w:sz w:val="24"/>
          <w:szCs w:val="24"/>
        </w:rPr>
        <w:t>”</w:t>
      </w:r>
      <w:r>
        <w:rPr>
          <w:rFonts w:hint="eastAsia" w:ascii="Times New Roman" w:hAnsi="Times New Roman"/>
          <w:color w:val="auto"/>
          <w:sz w:val="24"/>
          <w:szCs w:val="24"/>
          <w:lang w:val="en-US" w:eastAsia="zh-CN"/>
        </w:rPr>
        <w:t>环境影响报告表审批部门意见及落实情况详见下表。</w:t>
      </w:r>
    </w:p>
    <w:tbl>
      <w:tblPr>
        <w:tblStyle w:val="14"/>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49"/>
        <w:gridCol w:w="4466"/>
        <w:gridCol w:w="4215"/>
      </w:tblGrid>
      <w:tr w14:paraId="4DF5BEA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49" w:type="dxa"/>
            <w:noWrap w:val="0"/>
            <w:vAlign w:val="center"/>
          </w:tcPr>
          <w:p w14:paraId="20C2D583">
            <w:pPr>
              <w:jc w:val="center"/>
              <w:rPr>
                <w:rFonts w:ascii="Times New Roman" w:hAnsi="Times New Roman"/>
                <w:b/>
                <w:bCs/>
                <w:color w:val="auto"/>
                <w:szCs w:val="21"/>
              </w:rPr>
            </w:pPr>
            <w:r>
              <w:rPr>
                <w:rFonts w:ascii="Times New Roman" w:hAnsi="Times New Roman"/>
                <w:b/>
                <w:bCs/>
                <w:color w:val="auto"/>
                <w:szCs w:val="21"/>
              </w:rPr>
              <w:t>序号</w:t>
            </w:r>
          </w:p>
        </w:tc>
        <w:tc>
          <w:tcPr>
            <w:tcW w:w="4466" w:type="dxa"/>
            <w:noWrap w:val="0"/>
            <w:vAlign w:val="center"/>
          </w:tcPr>
          <w:p w14:paraId="632C9D9E">
            <w:pPr>
              <w:jc w:val="center"/>
              <w:rPr>
                <w:rFonts w:ascii="Times New Roman" w:hAnsi="Times New Roman"/>
                <w:b/>
                <w:bCs/>
                <w:color w:val="auto"/>
                <w:szCs w:val="21"/>
              </w:rPr>
            </w:pPr>
            <w:r>
              <w:rPr>
                <w:rFonts w:ascii="Times New Roman" w:hAnsi="Times New Roman"/>
                <w:b/>
                <w:bCs/>
                <w:color w:val="auto"/>
                <w:szCs w:val="21"/>
              </w:rPr>
              <w:t>批复内容</w:t>
            </w:r>
          </w:p>
        </w:tc>
        <w:tc>
          <w:tcPr>
            <w:tcW w:w="4215" w:type="dxa"/>
            <w:noWrap w:val="0"/>
            <w:vAlign w:val="center"/>
          </w:tcPr>
          <w:p w14:paraId="0C41197A">
            <w:pPr>
              <w:jc w:val="center"/>
              <w:rPr>
                <w:rFonts w:ascii="Times New Roman" w:hAnsi="Times New Roman"/>
                <w:b/>
                <w:bCs/>
                <w:color w:val="auto"/>
                <w:szCs w:val="21"/>
              </w:rPr>
            </w:pPr>
            <w:r>
              <w:rPr>
                <w:rFonts w:ascii="Times New Roman" w:hAnsi="Times New Roman"/>
                <w:b/>
                <w:bCs/>
                <w:color w:val="auto"/>
                <w:szCs w:val="21"/>
              </w:rPr>
              <w:t>执行情况</w:t>
            </w:r>
          </w:p>
        </w:tc>
      </w:tr>
      <w:tr w14:paraId="316321B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noWrap w:val="0"/>
            <w:vAlign w:val="center"/>
          </w:tcPr>
          <w:p w14:paraId="3EE51945">
            <w:pPr>
              <w:rPr>
                <w:rFonts w:hint="eastAsia" w:ascii="Times New Roman" w:hAnsi="Times New Roman" w:eastAsiaTheme="minorEastAsia"/>
                <w:color w:val="auto"/>
                <w:szCs w:val="21"/>
                <w:lang w:eastAsia="zh-CN"/>
              </w:rPr>
            </w:pPr>
            <w:r>
              <w:rPr>
                <w:rFonts w:hint="eastAsia" w:ascii="Times New Roman" w:hAnsi="Times New Roman"/>
                <w:color w:val="auto"/>
                <w:szCs w:val="21"/>
                <w:lang w:val="en-US" w:eastAsia="zh-CN"/>
              </w:rPr>
              <w:t>1</w:t>
            </w:r>
          </w:p>
        </w:tc>
        <w:tc>
          <w:tcPr>
            <w:tcW w:w="4466" w:type="dxa"/>
            <w:noWrap w:val="0"/>
            <w:vAlign w:val="center"/>
          </w:tcPr>
          <w:p w14:paraId="394D0EC8">
            <w:pPr>
              <w:rPr>
                <w:rFonts w:ascii="Times New Roman" w:hAnsi="Times New Roman"/>
                <w:color w:val="auto"/>
                <w:szCs w:val="21"/>
              </w:rPr>
            </w:pPr>
            <w:r>
              <w:rPr>
                <w:rFonts w:hint="eastAsia" w:ascii="Times New Roman" w:hAnsi="Times New Roman"/>
                <w:color w:val="auto"/>
                <w:szCs w:val="24"/>
              </w:rPr>
              <w:t>安徽伽雅生态工程有限公司年产10万吨新型肥料工艺升级及年产2万吨液体肥料改扩建项目位于宣城高新技术产业开发区松泉西路9号，宣城高新技术产业开发区管理委员会对本项目进行了备案</w:t>
            </w:r>
            <w:r>
              <w:rPr>
                <w:rFonts w:hint="eastAsia" w:ascii="Times New Roman" w:hAnsi="Times New Roman"/>
                <w:color w:val="auto"/>
                <w:szCs w:val="24"/>
                <w:lang w:eastAsia="zh-CN"/>
              </w:rPr>
              <w:t>（</w:t>
            </w:r>
            <w:r>
              <w:rPr>
                <w:rFonts w:hint="eastAsia" w:ascii="Times New Roman" w:hAnsi="Times New Roman"/>
                <w:color w:val="auto"/>
                <w:szCs w:val="24"/>
              </w:rPr>
              <w:t>项目代码</w:t>
            </w:r>
            <w:r>
              <w:rPr>
                <w:rFonts w:hint="eastAsia" w:ascii="Times New Roman" w:hAnsi="Times New Roman"/>
                <w:color w:val="auto"/>
                <w:szCs w:val="24"/>
                <w:lang w:eastAsia="zh-CN"/>
              </w:rPr>
              <w:t>：</w:t>
            </w:r>
            <w:r>
              <w:rPr>
                <w:rFonts w:hint="eastAsia" w:ascii="Times New Roman" w:hAnsi="Times New Roman"/>
                <w:color w:val="auto"/>
                <w:szCs w:val="24"/>
              </w:rPr>
              <w:t>2305-341802-07-02-713794</w:t>
            </w:r>
            <w:r>
              <w:rPr>
                <w:rFonts w:hint="eastAsia" w:ascii="Times New Roman" w:hAnsi="Times New Roman"/>
                <w:color w:val="auto"/>
                <w:szCs w:val="24"/>
                <w:lang w:eastAsia="zh-CN"/>
              </w:rPr>
              <w:t>）</w:t>
            </w:r>
            <w:r>
              <w:rPr>
                <w:rFonts w:hint="eastAsia" w:ascii="Times New Roman" w:hAnsi="Times New Roman"/>
                <w:color w:val="auto"/>
                <w:szCs w:val="24"/>
              </w:rPr>
              <w:t>。本次改扩建项目在企业现有厂区内实施，不新增用地，将现有转鼓造粒复混肥生产线升级改造为挤压造粒复混肥生产线，增加硫酸脲反应及喷脲工艺生产硫脲肥，形成年产10万吨新型肥料生产能力</w:t>
            </w:r>
            <w:r>
              <w:rPr>
                <w:rFonts w:hint="eastAsia" w:ascii="Times New Roman" w:hAnsi="Times New Roman"/>
                <w:color w:val="auto"/>
                <w:szCs w:val="24"/>
                <w:lang w:eastAsia="zh-CN"/>
              </w:rPr>
              <w:t>（</w:t>
            </w:r>
            <w:r>
              <w:rPr>
                <w:rFonts w:hint="eastAsia" w:ascii="Times New Roman" w:hAnsi="Times New Roman"/>
                <w:color w:val="auto"/>
                <w:szCs w:val="24"/>
              </w:rPr>
              <w:t>其中普通肥7万吨/年，</w:t>
            </w:r>
            <w:r>
              <w:rPr>
                <w:rFonts w:hint="eastAsia" w:ascii="Times New Roman" w:hAnsi="Times New Roman"/>
                <w:color w:val="auto"/>
                <w:szCs w:val="24"/>
                <w:lang w:val="en-US" w:eastAsia="zh-CN"/>
              </w:rPr>
              <w:t>硫脲肥</w:t>
            </w:r>
            <w:r>
              <w:rPr>
                <w:rFonts w:hint="eastAsia" w:ascii="Times New Roman" w:hAnsi="Times New Roman"/>
                <w:color w:val="auto"/>
                <w:szCs w:val="24"/>
              </w:rPr>
              <w:t>3万吨/年</w:t>
            </w:r>
            <w:r>
              <w:rPr>
                <w:rFonts w:hint="eastAsia" w:ascii="Times New Roman" w:hAnsi="Times New Roman"/>
                <w:color w:val="auto"/>
                <w:szCs w:val="24"/>
                <w:lang w:eastAsia="zh-CN"/>
              </w:rPr>
              <w:t>）；</w:t>
            </w:r>
            <w:r>
              <w:rPr>
                <w:rFonts w:hint="eastAsia" w:ascii="Times New Roman" w:hAnsi="Times New Roman"/>
                <w:color w:val="auto"/>
                <w:szCs w:val="24"/>
              </w:rPr>
              <w:t>在原有高塔造粒复混肥成品库内新建一条液体肥料生产线，通过配制、混合、搅拌、三级剪切乳化等工序，形成年产2万吨液体肥料的生产规模。我局原则同意环境影响报告书的环境影响评价总体结论和拟采取的污染防治措施。</w:t>
            </w:r>
          </w:p>
        </w:tc>
        <w:tc>
          <w:tcPr>
            <w:tcW w:w="4215" w:type="dxa"/>
            <w:noWrap w:val="0"/>
            <w:vAlign w:val="center"/>
          </w:tcPr>
          <w:p w14:paraId="06444714">
            <w:pPr>
              <w:rPr>
                <w:rFonts w:ascii="Times New Roman" w:hAnsi="Times New Roman"/>
                <w:color w:val="auto"/>
                <w:szCs w:val="21"/>
              </w:rPr>
            </w:pPr>
            <w:r>
              <w:rPr>
                <w:rFonts w:hint="eastAsia" w:ascii="Times New Roman" w:hAnsi="Times New Roman"/>
                <w:color w:val="auto"/>
                <w:szCs w:val="24"/>
              </w:rPr>
              <w:t>项目在企业现有厂区内实施，不新增用地，将现有转鼓造粒复混肥生产线升级改造为挤压造粒复混肥生产线，增加硫酸脲反应及喷脲工艺生产硫脲肥，形成年产10万吨新型肥料生产能力</w:t>
            </w:r>
            <w:r>
              <w:rPr>
                <w:rFonts w:hint="eastAsia" w:ascii="Times New Roman" w:hAnsi="Times New Roman"/>
                <w:color w:val="auto"/>
                <w:szCs w:val="24"/>
                <w:lang w:eastAsia="zh-CN"/>
              </w:rPr>
              <w:t>（</w:t>
            </w:r>
            <w:r>
              <w:rPr>
                <w:rFonts w:hint="eastAsia" w:ascii="Times New Roman" w:hAnsi="Times New Roman"/>
                <w:color w:val="auto"/>
                <w:szCs w:val="24"/>
              </w:rPr>
              <w:t>其中普通肥7万吨/年，</w:t>
            </w:r>
            <w:r>
              <w:rPr>
                <w:rFonts w:hint="eastAsia" w:ascii="Times New Roman" w:hAnsi="Times New Roman"/>
                <w:color w:val="auto"/>
                <w:szCs w:val="24"/>
                <w:lang w:val="en-US" w:eastAsia="zh-CN"/>
              </w:rPr>
              <w:t>硫脲肥</w:t>
            </w:r>
            <w:r>
              <w:rPr>
                <w:rFonts w:hint="eastAsia" w:ascii="Times New Roman" w:hAnsi="Times New Roman"/>
                <w:color w:val="auto"/>
                <w:szCs w:val="24"/>
              </w:rPr>
              <w:t>3万吨/年</w:t>
            </w:r>
            <w:r>
              <w:rPr>
                <w:rFonts w:hint="eastAsia" w:ascii="Times New Roman" w:hAnsi="Times New Roman"/>
                <w:color w:val="auto"/>
                <w:szCs w:val="24"/>
                <w:lang w:eastAsia="zh-CN"/>
              </w:rPr>
              <w:t>）；</w:t>
            </w:r>
            <w:r>
              <w:rPr>
                <w:rFonts w:hint="eastAsia" w:ascii="Times New Roman" w:hAnsi="Times New Roman"/>
                <w:color w:val="auto"/>
                <w:szCs w:val="24"/>
              </w:rPr>
              <w:t>在原有高塔造粒复混肥成品库内新建一条液体肥料生产线，通过配制、混合、搅拌、三级剪切乳化等工序，形成年产2万吨液体肥料的生产规模。</w:t>
            </w:r>
          </w:p>
        </w:tc>
      </w:tr>
      <w:tr w14:paraId="14F8A27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noWrap w:val="0"/>
            <w:vAlign w:val="center"/>
          </w:tcPr>
          <w:p w14:paraId="59C65FAD">
            <w:pPr>
              <w:rPr>
                <w:rFonts w:ascii="Times New Roman" w:hAnsi="Times New Roman"/>
                <w:color w:val="auto"/>
                <w:szCs w:val="21"/>
              </w:rPr>
            </w:pPr>
            <w:r>
              <w:rPr>
                <w:rFonts w:ascii="Times New Roman" w:hAnsi="Times New Roman"/>
                <w:color w:val="auto"/>
                <w:szCs w:val="21"/>
              </w:rPr>
              <w:t>2</w:t>
            </w:r>
          </w:p>
        </w:tc>
        <w:tc>
          <w:tcPr>
            <w:tcW w:w="4466" w:type="dxa"/>
            <w:noWrap w:val="0"/>
            <w:vAlign w:val="center"/>
          </w:tcPr>
          <w:p w14:paraId="56B9C519">
            <w:pPr>
              <w:rPr>
                <w:rFonts w:hint="eastAsia" w:ascii="Times New Roman" w:hAnsi="Times New Roman"/>
                <w:color w:val="auto"/>
                <w:szCs w:val="24"/>
              </w:rPr>
            </w:pPr>
            <w:r>
              <w:rPr>
                <w:rFonts w:hint="eastAsia" w:ascii="Times New Roman" w:hAnsi="Times New Roman"/>
                <w:color w:val="auto"/>
                <w:szCs w:val="24"/>
              </w:rPr>
              <w:t>严格落实大气污染防治措施。按《报告书》要求</w:t>
            </w:r>
            <w:r>
              <w:rPr>
                <w:rFonts w:hint="eastAsia" w:ascii="Times New Roman" w:hAnsi="Times New Roman"/>
                <w:color w:val="auto"/>
                <w:szCs w:val="24"/>
                <w:lang w:eastAsia="zh-CN"/>
              </w:rPr>
              <w:t>，</w:t>
            </w:r>
            <w:r>
              <w:rPr>
                <w:rFonts w:hint="eastAsia" w:ascii="Times New Roman" w:hAnsi="Times New Roman"/>
                <w:color w:val="auto"/>
                <w:szCs w:val="24"/>
              </w:rPr>
              <w:t>根据项目所产生的废气特征，分类收集、分质处理，确保各类废气稳定达标排放，满足相关排放标准及厂界无组织排放监控浓度限值要求。挤压造粒生产线废气颗粒物、二氧化硫</w:t>
            </w:r>
            <w:r>
              <w:rPr>
                <w:rFonts w:hint="eastAsia" w:ascii="Times New Roman" w:hAnsi="Times New Roman"/>
                <w:color w:val="auto"/>
                <w:szCs w:val="24"/>
                <w:lang w:eastAsia="zh-CN"/>
              </w:rPr>
              <w:t>、</w:t>
            </w:r>
            <w:r>
              <w:rPr>
                <w:rFonts w:hint="eastAsia" w:ascii="Times New Roman" w:hAnsi="Times New Roman"/>
                <w:color w:val="auto"/>
                <w:szCs w:val="24"/>
                <w:lang w:val="en-US" w:eastAsia="zh-CN"/>
              </w:rPr>
              <w:t>氮氧化物</w:t>
            </w:r>
            <w:r>
              <w:rPr>
                <w:rFonts w:hint="eastAsia" w:ascii="Times New Roman" w:hAnsi="Times New Roman"/>
                <w:color w:val="auto"/>
                <w:szCs w:val="24"/>
              </w:rPr>
              <w:t>排放标准执行《安徽省生态环境厅 安徽省发改委</w:t>
            </w:r>
            <w:r>
              <w:rPr>
                <w:rFonts w:hint="eastAsia" w:ascii="Times New Roman" w:hAnsi="Times New Roman"/>
                <w:color w:val="auto"/>
                <w:szCs w:val="24"/>
                <w:lang w:val="en-US" w:eastAsia="zh-CN"/>
              </w:rPr>
              <w:t xml:space="preserve"> </w:t>
            </w:r>
            <w:r>
              <w:rPr>
                <w:rFonts w:hint="eastAsia" w:ascii="Times New Roman" w:hAnsi="Times New Roman"/>
                <w:color w:val="auto"/>
                <w:szCs w:val="24"/>
              </w:rPr>
              <w:t>安徽省经信厅 安徽省财政厅关于转发</w:t>
            </w:r>
            <w:r>
              <w:rPr>
                <w:rFonts w:hint="eastAsia" w:ascii="Times New Roman" w:hAnsi="Times New Roman"/>
                <w:color w:val="auto"/>
                <w:szCs w:val="24"/>
                <w:lang w:val="en-US" w:eastAsia="zh-CN"/>
              </w:rPr>
              <w:t>&lt;</w:t>
            </w:r>
            <w:r>
              <w:rPr>
                <w:rFonts w:hint="eastAsia" w:ascii="Times New Roman" w:hAnsi="Times New Roman"/>
                <w:color w:val="auto"/>
                <w:szCs w:val="24"/>
              </w:rPr>
              <w:t>工业炉密大气污染综合治理方案</w:t>
            </w:r>
            <w:r>
              <w:rPr>
                <w:rFonts w:hint="eastAsia" w:ascii="Times New Roman" w:hAnsi="Times New Roman"/>
                <w:color w:val="auto"/>
                <w:szCs w:val="24"/>
                <w:lang w:val="en-US" w:eastAsia="zh-CN"/>
              </w:rPr>
              <w:t>&gt;</w:t>
            </w:r>
            <w:r>
              <w:rPr>
                <w:rFonts w:hint="eastAsia" w:ascii="Times New Roman" w:hAnsi="Times New Roman"/>
                <w:color w:val="auto"/>
                <w:szCs w:val="24"/>
              </w:rPr>
              <w:t>的通知》</w:t>
            </w:r>
            <w:r>
              <w:rPr>
                <w:rFonts w:hint="eastAsia" w:ascii="Times New Roman" w:hAnsi="Times New Roman"/>
                <w:color w:val="auto"/>
                <w:szCs w:val="24"/>
                <w:lang w:eastAsia="zh-CN"/>
              </w:rPr>
              <w:t>（</w:t>
            </w:r>
            <w:r>
              <w:rPr>
                <w:rFonts w:hint="eastAsia" w:ascii="Times New Roman" w:hAnsi="Times New Roman"/>
                <w:color w:val="auto"/>
                <w:szCs w:val="24"/>
              </w:rPr>
              <w:t>皖环函</w:t>
            </w:r>
            <w:r>
              <w:rPr>
                <w:rFonts w:hint="eastAsia" w:ascii="Times New Roman" w:hAnsi="Times New Roman"/>
                <w:color w:val="auto"/>
                <w:szCs w:val="24"/>
                <w:lang w:val="en-US" w:eastAsia="zh-CN"/>
              </w:rPr>
              <w:t>[</w:t>
            </w:r>
            <w:r>
              <w:rPr>
                <w:rFonts w:hint="eastAsia" w:ascii="Times New Roman" w:hAnsi="Times New Roman"/>
                <w:color w:val="auto"/>
                <w:szCs w:val="24"/>
              </w:rPr>
              <w:t>2019</w:t>
            </w:r>
            <w:r>
              <w:rPr>
                <w:rFonts w:hint="eastAsia" w:ascii="Times New Roman" w:hAnsi="Times New Roman"/>
                <w:color w:val="auto"/>
                <w:szCs w:val="24"/>
                <w:lang w:val="en-US" w:eastAsia="zh-CN"/>
              </w:rPr>
              <w:t>]</w:t>
            </w:r>
            <w:r>
              <w:rPr>
                <w:rFonts w:hint="eastAsia" w:ascii="Times New Roman" w:hAnsi="Times New Roman"/>
                <w:color w:val="auto"/>
                <w:szCs w:val="24"/>
              </w:rPr>
              <w:t>886号</w:t>
            </w:r>
            <w:r>
              <w:rPr>
                <w:rFonts w:hint="eastAsia" w:ascii="Times New Roman" w:hAnsi="Times New Roman"/>
                <w:color w:val="auto"/>
                <w:szCs w:val="24"/>
                <w:lang w:eastAsia="zh-CN"/>
              </w:rPr>
              <w:t>）</w:t>
            </w:r>
            <w:r>
              <w:rPr>
                <w:rFonts w:hint="eastAsia" w:ascii="Times New Roman" w:hAnsi="Times New Roman"/>
                <w:color w:val="auto"/>
                <w:szCs w:val="24"/>
              </w:rPr>
              <w:t>相关要求挤压造粒生产线废气硫酸雾、非甲烷总烃、氨、硫化氢和液体肥料生产线废气颗粒物、氨、硫化氢排放执行《大气污染物综合排放标准》</w:t>
            </w:r>
            <w:r>
              <w:rPr>
                <w:rFonts w:hint="eastAsia" w:ascii="Times New Roman" w:hAnsi="Times New Roman"/>
                <w:color w:val="auto"/>
                <w:szCs w:val="24"/>
                <w:lang w:eastAsia="zh-CN"/>
              </w:rPr>
              <w:t>（</w:t>
            </w:r>
            <w:r>
              <w:rPr>
                <w:rFonts w:hint="eastAsia" w:ascii="Times New Roman" w:hAnsi="Times New Roman"/>
                <w:color w:val="auto"/>
                <w:szCs w:val="24"/>
              </w:rPr>
              <w:t>GB16297-1996</w:t>
            </w:r>
            <w:r>
              <w:rPr>
                <w:rFonts w:hint="eastAsia" w:ascii="Times New Roman" w:hAnsi="Times New Roman"/>
                <w:color w:val="auto"/>
                <w:szCs w:val="24"/>
                <w:lang w:eastAsia="zh-CN"/>
              </w:rPr>
              <w:t>）</w:t>
            </w:r>
            <w:r>
              <w:rPr>
                <w:rFonts w:hint="eastAsia" w:ascii="Times New Roman" w:hAnsi="Times New Roman"/>
                <w:color w:val="auto"/>
                <w:szCs w:val="24"/>
              </w:rPr>
              <w:t>表2和《恶臭污染物排放标准》</w:t>
            </w:r>
            <w:r>
              <w:rPr>
                <w:rFonts w:hint="eastAsia" w:ascii="Times New Roman" w:hAnsi="Times New Roman"/>
                <w:color w:val="auto"/>
                <w:szCs w:val="24"/>
                <w:lang w:eastAsia="zh-CN"/>
              </w:rPr>
              <w:t>（</w:t>
            </w:r>
            <w:r>
              <w:rPr>
                <w:rFonts w:hint="eastAsia" w:ascii="Times New Roman" w:hAnsi="Times New Roman"/>
                <w:color w:val="auto"/>
                <w:szCs w:val="24"/>
              </w:rPr>
              <w:t>GB14554-93</w:t>
            </w:r>
            <w:r>
              <w:rPr>
                <w:rFonts w:hint="eastAsia" w:ascii="Times New Roman" w:hAnsi="Times New Roman"/>
                <w:color w:val="auto"/>
                <w:szCs w:val="24"/>
                <w:lang w:eastAsia="zh-CN"/>
              </w:rPr>
              <w:t>）</w:t>
            </w:r>
            <w:r>
              <w:rPr>
                <w:rFonts w:hint="eastAsia" w:ascii="Times New Roman" w:hAnsi="Times New Roman"/>
                <w:color w:val="auto"/>
                <w:szCs w:val="24"/>
              </w:rPr>
              <w:t>表2限值要求。</w:t>
            </w:r>
          </w:p>
          <w:p w14:paraId="251D80D1">
            <w:pPr>
              <w:rPr>
                <w:rFonts w:ascii="Times New Roman" w:hAnsi="Times New Roman"/>
                <w:color w:val="auto"/>
                <w:szCs w:val="21"/>
              </w:rPr>
            </w:pPr>
            <w:r>
              <w:rPr>
                <w:rFonts w:hint="eastAsia" w:ascii="Times New Roman" w:hAnsi="Times New Roman"/>
                <w:color w:val="auto"/>
                <w:szCs w:val="24"/>
              </w:rPr>
              <w:t>按《报告书》要求自厂界外100m范围设置环境防护距离。你公司应配合当地政府及有关部门做好防护距离内的规划控制工作，防护距离内不得建设环境敏感建筑。</w:t>
            </w:r>
          </w:p>
        </w:tc>
        <w:tc>
          <w:tcPr>
            <w:tcW w:w="4215" w:type="dxa"/>
            <w:noWrap w:val="0"/>
            <w:vAlign w:val="center"/>
          </w:tcPr>
          <w:p w14:paraId="034A46EE">
            <w:pPr>
              <w:rPr>
                <w:rFonts w:hint="eastAsia" w:ascii="Times New Roman" w:hAnsi="Times New Roman"/>
                <w:color w:val="auto"/>
                <w:szCs w:val="24"/>
              </w:rPr>
            </w:pPr>
            <w:r>
              <w:rPr>
                <w:rFonts w:hint="eastAsia" w:ascii="Times New Roman" w:hAnsi="Times New Roman"/>
                <w:color w:val="auto"/>
                <w:szCs w:val="24"/>
                <w:lang w:val="en-US" w:eastAsia="zh-CN"/>
              </w:rPr>
              <w:t>已</w:t>
            </w:r>
            <w:r>
              <w:rPr>
                <w:rFonts w:hint="eastAsia" w:ascii="Times New Roman" w:hAnsi="Times New Roman"/>
                <w:color w:val="auto"/>
                <w:szCs w:val="24"/>
              </w:rPr>
              <w:t>严格落实大气污染防治措施。按《报告书》要求</w:t>
            </w:r>
            <w:r>
              <w:rPr>
                <w:rFonts w:hint="eastAsia" w:ascii="Times New Roman" w:hAnsi="Times New Roman"/>
                <w:color w:val="auto"/>
                <w:szCs w:val="24"/>
                <w:lang w:eastAsia="zh-CN"/>
              </w:rPr>
              <w:t>，</w:t>
            </w:r>
            <w:r>
              <w:rPr>
                <w:rFonts w:hint="eastAsia" w:ascii="Times New Roman" w:hAnsi="Times New Roman"/>
                <w:color w:val="auto"/>
                <w:szCs w:val="24"/>
              </w:rPr>
              <w:t>项目所产生的废气分类收集、分质处理，各类废气稳定达标排放，满足相关排放标准及厂界无组织排放监控浓度限值要求。挤压造粒生产线废气颗粒物、二氧化硫</w:t>
            </w:r>
            <w:r>
              <w:rPr>
                <w:rFonts w:hint="eastAsia" w:ascii="Times New Roman" w:hAnsi="Times New Roman"/>
                <w:color w:val="auto"/>
                <w:szCs w:val="24"/>
                <w:lang w:eastAsia="zh-CN"/>
              </w:rPr>
              <w:t>、</w:t>
            </w:r>
            <w:r>
              <w:rPr>
                <w:rFonts w:hint="eastAsia" w:ascii="Times New Roman" w:hAnsi="Times New Roman"/>
                <w:color w:val="auto"/>
                <w:szCs w:val="24"/>
                <w:lang w:val="en-US" w:eastAsia="zh-CN"/>
              </w:rPr>
              <w:t>氮氧化物</w:t>
            </w:r>
            <w:r>
              <w:rPr>
                <w:rFonts w:hint="eastAsia" w:ascii="Times New Roman" w:hAnsi="Times New Roman"/>
                <w:color w:val="auto"/>
                <w:szCs w:val="24"/>
              </w:rPr>
              <w:t>排放标准执行《安徽省生态环境厅 安徽省发改委</w:t>
            </w:r>
            <w:r>
              <w:rPr>
                <w:rFonts w:hint="eastAsia" w:ascii="Times New Roman" w:hAnsi="Times New Roman"/>
                <w:color w:val="auto"/>
                <w:szCs w:val="24"/>
                <w:lang w:val="en-US" w:eastAsia="zh-CN"/>
              </w:rPr>
              <w:t xml:space="preserve"> </w:t>
            </w:r>
            <w:r>
              <w:rPr>
                <w:rFonts w:hint="eastAsia" w:ascii="Times New Roman" w:hAnsi="Times New Roman"/>
                <w:color w:val="auto"/>
                <w:szCs w:val="24"/>
              </w:rPr>
              <w:t>安徽省经信厅 安徽省财政厅关于转发</w:t>
            </w:r>
            <w:r>
              <w:rPr>
                <w:rFonts w:hint="eastAsia" w:ascii="Times New Roman" w:hAnsi="Times New Roman"/>
                <w:color w:val="auto"/>
                <w:szCs w:val="24"/>
                <w:lang w:val="en-US" w:eastAsia="zh-CN"/>
              </w:rPr>
              <w:t>&lt;</w:t>
            </w:r>
            <w:r>
              <w:rPr>
                <w:rFonts w:hint="eastAsia" w:ascii="Times New Roman" w:hAnsi="Times New Roman"/>
                <w:color w:val="auto"/>
                <w:szCs w:val="24"/>
              </w:rPr>
              <w:t>工业炉密大气污染综合治理方案</w:t>
            </w:r>
            <w:r>
              <w:rPr>
                <w:rFonts w:hint="eastAsia" w:ascii="Times New Roman" w:hAnsi="Times New Roman"/>
                <w:color w:val="auto"/>
                <w:szCs w:val="24"/>
                <w:lang w:val="en-US" w:eastAsia="zh-CN"/>
              </w:rPr>
              <w:t>&gt;</w:t>
            </w:r>
            <w:r>
              <w:rPr>
                <w:rFonts w:hint="eastAsia" w:ascii="Times New Roman" w:hAnsi="Times New Roman"/>
                <w:color w:val="auto"/>
                <w:szCs w:val="24"/>
              </w:rPr>
              <w:t>的通知》</w:t>
            </w:r>
            <w:r>
              <w:rPr>
                <w:rFonts w:hint="eastAsia" w:ascii="Times New Roman" w:hAnsi="Times New Roman"/>
                <w:color w:val="auto"/>
                <w:szCs w:val="24"/>
                <w:lang w:eastAsia="zh-CN"/>
              </w:rPr>
              <w:t>（</w:t>
            </w:r>
            <w:r>
              <w:rPr>
                <w:rFonts w:hint="eastAsia" w:ascii="Times New Roman" w:hAnsi="Times New Roman"/>
                <w:color w:val="auto"/>
                <w:szCs w:val="24"/>
              </w:rPr>
              <w:t>皖环函</w:t>
            </w:r>
            <w:r>
              <w:rPr>
                <w:rFonts w:hint="eastAsia" w:ascii="Times New Roman" w:hAnsi="Times New Roman"/>
                <w:color w:val="auto"/>
                <w:szCs w:val="24"/>
                <w:lang w:val="en-US" w:eastAsia="zh-CN"/>
              </w:rPr>
              <w:t>[</w:t>
            </w:r>
            <w:r>
              <w:rPr>
                <w:rFonts w:hint="eastAsia" w:ascii="Times New Roman" w:hAnsi="Times New Roman"/>
                <w:color w:val="auto"/>
                <w:szCs w:val="24"/>
              </w:rPr>
              <w:t>2019</w:t>
            </w:r>
            <w:r>
              <w:rPr>
                <w:rFonts w:hint="eastAsia" w:ascii="Times New Roman" w:hAnsi="Times New Roman"/>
                <w:color w:val="auto"/>
                <w:szCs w:val="24"/>
                <w:lang w:val="en-US" w:eastAsia="zh-CN"/>
              </w:rPr>
              <w:t>]</w:t>
            </w:r>
            <w:r>
              <w:rPr>
                <w:rFonts w:hint="eastAsia" w:ascii="Times New Roman" w:hAnsi="Times New Roman"/>
                <w:color w:val="auto"/>
                <w:szCs w:val="24"/>
              </w:rPr>
              <w:t>886号</w:t>
            </w:r>
            <w:r>
              <w:rPr>
                <w:rFonts w:hint="eastAsia" w:ascii="Times New Roman" w:hAnsi="Times New Roman"/>
                <w:color w:val="auto"/>
                <w:szCs w:val="24"/>
                <w:lang w:eastAsia="zh-CN"/>
              </w:rPr>
              <w:t>）</w:t>
            </w:r>
            <w:r>
              <w:rPr>
                <w:rFonts w:hint="eastAsia" w:ascii="Times New Roman" w:hAnsi="Times New Roman"/>
                <w:color w:val="auto"/>
                <w:szCs w:val="24"/>
              </w:rPr>
              <w:t>相关要求挤压造粒生产线废气硫酸雾、非甲烷总烃、氨、硫化氢和液体肥料生产线废气颗粒物、氨、硫化氢排放执行《大气污染物综合排放标准》</w:t>
            </w:r>
            <w:r>
              <w:rPr>
                <w:rFonts w:hint="eastAsia" w:ascii="Times New Roman" w:hAnsi="Times New Roman"/>
                <w:color w:val="auto"/>
                <w:szCs w:val="24"/>
                <w:lang w:eastAsia="zh-CN"/>
              </w:rPr>
              <w:t>（</w:t>
            </w:r>
            <w:r>
              <w:rPr>
                <w:rFonts w:hint="eastAsia" w:ascii="Times New Roman" w:hAnsi="Times New Roman"/>
                <w:color w:val="auto"/>
                <w:szCs w:val="24"/>
              </w:rPr>
              <w:t>GB16297-1996</w:t>
            </w:r>
            <w:r>
              <w:rPr>
                <w:rFonts w:hint="eastAsia" w:ascii="Times New Roman" w:hAnsi="Times New Roman"/>
                <w:color w:val="auto"/>
                <w:szCs w:val="24"/>
                <w:lang w:eastAsia="zh-CN"/>
              </w:rPr>
              <w:t>）</w:t>
            </w:r>
            <w:r>
              <w:rPr>
                <w:rFonts w:hint="eastAsia" w:ascii="Times New Roman" w:hAnsi="Times New Roman"/>
                <w:color w:val="auto"/>
                <w:szCs w:val="24"/>
              </w:rPr>
              <w:t>表2和《恶臭污染物排放标准》</w:t>
            </w:r>
            <w:r>
              <w:rPr>
                <w:rFonts w:hint="eastAsia" w:ascii="Times New Roman" w:hAnsi="Times New Roman"/>
                <w:color w:val="auto"/>
                <w:szCs w:val="24"/>
                <w:lang w:eastAsia="zh-CN"/>
              </w:rPr>
              <w:t>（</w:t>
            </w:r>
            <w:r>
              <w:rPr>
                <w:rFonts w:hint="eastAsia" w:ascii="Times New Roman" w:hAnsi="Times New Roman"/>
                <w:color w:val="auto"/>
                <w:szCs w:val="24"/>
              </w:rPr>
              <w:t>GB14554-93</w:t>
            </w:r>
            <w:r>
              <w:rPr>
                <w:rFonts w:hint="eastAsia" w:ascii="Times New Roman" w:hAnsi="Times New Roman"/>
                <w:color w:val="auto"/>
                <w:szCs w:val="24"/>
                <w:lang w:eastAsia="zh-CN"/>
              </w:rPr>
              <w:t>）</w:t>
            </w:r>
            <w:r>
              <w:rPr>
                <w:rFonts w:hint="eastAsia" w:ascii="Times New Roman" w:hAnsi="Times New Roman"/>
                <w:color w:val="auto"/>
                <w:szCs w:val="24"/>
              </w:rPr>
              <w:t>表2限值要求。</w:t>
            </w:r>
          </w:p>
          <w:p w14:paraId="0C3EEDFA">
            <w:pPr>
              <w:rPr>
                <w:rFonts w:ascii="Times New Roman" w:hAnsi="Times New Roman"/>
                <w:color w:val="auto"/>
                <w:szCs w:val="21"/>
              </w:rPr>
            </w:pPr>
            <w:r>
              <w:rPr>
                <w:rFonts w:hint="eastAsia" w:ascii="Times New Roman" w:hAnsi="Times New Roman"/>
                <w:color w:val="auto"/>
                <w:szCs w:val="24"/>
              </w:rPr>
              <w:t>按《报告书》要求自厂界外100m范围设置环境防护距离，防护距离内</w:t>
            </w:r>
            <w:r>
              <w:rPr>
                <w:rFonts w:hint="eastAsia" w:ascii="Times New Roman" w:hAnsi="Times New Roman"/>
                <w:color w:val="auto"/>
                <w:szCs w:val="24"/>
                <w:lang w:val="en-US" w:eastAsia="zh-CN"/>
              </w:rPr>
              <w:t>无</w:t>
            </w:r>
            <w:r>
              <w:rPr>
                <w:rFonts w:hint="eastAsia" w:ascii="Times New Roman" w:hAnsi="Times New Roman"/>
                <w:color w:val="auto"/>
                <w:szCs w:val="24"/>
              </w:rPr>
              <w:t>建设环境敏感建筑。</w:t>
            </w:r>
          </w:p>
        </w:tc>
      </w:tr>
      <w:tr w14:paraId="0D51478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noWrap w:val="0"/>
            <w:vAlign w:val="center"/>
          </w:tcPr>
          <w:p w14:paraId="0B754D4A">
            <w:pPr>
              <w:rPr>
                <w:rFonts w:ascii="Times New Roman" w:hAnsi="Times New Roman"/>
                <w:color w:val="auto"/>
                <w:szCs w:val="21"/>
              </w:rPr>
            </w:pPr>
            <w:r>
              <w:rPr>
                <w:rFonts w:ascii="Times New Roman" w:hAnsi="Times New Roman"/>
                <w:color w:val="auto"/>
                <w:szCs w:val="21"/>
              </w:rPr>
              <w:t>3</w:t>
            </w:r>
          </w:p>
        </w:tc>
        <w:tc>
          <w:tcPr>
            <w:tcW w:w="4466" w:type="dxa"/>
            <w:noWrap w:val="0"/>
            <w:vAlign w:val="center"/>
          </w:tcPr>
          <w:p w14:paraId="6319DA30">
            <w:pPr>
              <w:rPr>
                <w:rFonts w:hint="eastAsia" w:ascii="Times New Roman" w:hAnsi="Times New Roman"/>
                <w:color w:val="auto"/>
                <w:szCs w:val="21"/>
              </w:rPr>
            </w:pPr>
            <w:r>
              <w:rPr>
                <w:rFonts w:hint="eastAsia" w:ascii="Times New Roman" w:hAnsi="Times New Roman"/>
                <w:color w:val="auto"/>
                <w:szCs w:val="21"/>
              </w:rPr>
              <w:t>严格落实水污染防治措施和要求。项目产生的喷淋塔、水洗塔废水和初期雨水全部回用于挤压造粒生产线，生活污水经园区管网排入宣州区开发区污水处理厂处理达标后排放。</w:t>
            </w:r>
          </w:p>
          <w:p w14:paraId="2896C114">
            <w:pPr>
              <w:rPr>
                <w:rFonts w:ascii="Times New Roman" w:hAnsi="Times New Roman"/>
                <w:color w:val="auto"/>
                <w:szCs w:val="21"/>
              </w:rPr>
            </w:pPr>
            <w:r>
              <w:rPr>
                <w:rFonts w:hint="eastAsia" w:ascii="Times New Roman" w:hAnsi="Times New Roman"/>
                <w:color w:val="auto"/>
                <w:szCs w:val="21"/>
              </w:rPr>
              <w:t>厂区应采取分区防渗措施，对硫酸暂存区、液体肥料生产车间、初期雨水池、事故应急池、危废库等区域完善重点防渗，各区域防渗系数应达到相应要求，按《报告书》依托厂区现有2个地下水监测井定期开展自行监测，并保留完备的防渗工程施工影像及相关材料。</w:t>
            </w:r>
          </w:p>
        </w:tc>
        <w:tc>
          <w:tcPr>
            <w:tcW w:w="4215" w:type="dxa"/>
            <w:noWrap w:val="0"/>
            <w:vAlign w:val="center"/>
          </w:tcPr>
          <w:p w14:paraId="61A3FA67">
            <w:pPr>
              <w:rPr>
                <w:rFonts w:hint="eastAsia" w:ascii="Times New Roman" w:hAnsi="Times New Roman"/>
                <w:color w:val="auto"/>
                <w:szCs w:val="21"/>
              </w:rPr>
            </w:pPr>
            <w:r>
              <w:rPr>
                <w:rFonts w:hint="eastAsia" w:ascii="Times New Roman" w:hAnsi="Times New Roman"/>
                <w:color w:val="auto"/>
                <w:szCs w:val="21"/>
              </w:rPr>
              <w:t>严格落实水污染防治措施和要求。项目产生的喷淋塔、水洗塔废水和初期雨水全部回用于挤压造粒生产线，生活污水经园区管网排入宣州区开发区污水处理厂处理达标后排放。</w:t>
            </w:r>
          </w:p>
          <w:p w14:paraId="4C5EB87D">
            <w:pPr>
              <w:rPr>
                <w:rFonts w:ascii="Times New Roman" w:hAnsi="Times New Roman"/>
                <w:color w:val="auto"/>
                <w:szCs w:val="21"/>
              </w:rPr>
            </w:pPr>
            <w:r>
              <w:rPr>
                <w:rFonts w:hint="eastAsia" w:ascii="Times New Roman" w:hAnsi="Times New Roman"/>
                <w:color w:val="auto"/>
                <w:szCs w:val="21"/>
              </w:rPr>
              <w:t>厂区采取分区防渗措施，对硫酸暂存区、液体肥料生产车间、初期雨水池、事故应急池、危废库等区域重点防渗，各区域防渗系数达到相应要求，依托厂区现有2个地下水监测井定期开展自行监测，并保留完备的防渗工程施工影像及相关材料。</w:t>
            </w:r>
          </w:p>
        </w:tc>
      </w:tr>
      <w:tr w14:paraId="7C912F0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noWrap w:val="0"/>
            <w:vAlign w:val="center"/>
          </w:tcPr>
          <w:p w14:paraId="2BAFC9E0">
            <w:pPr>
              <w:rPr>
                <w:rFonts w:ascii="Times New Roman" w:hAnsi="Times New Roman"/>
                <w:color w:val="auto"/>
                <w:szCs w:val="21"/>
              </w:rPr>
            </w:pPr>
            <w:r>
              <w:rPr>
                <w:rFonts w:ascii="Times New Roman" w:hAnsi="Times New Roman"/>
                <w:color w:val="auto"/>
                <w:szCs w:val="21"/>
              </w:rPr>
              <w:t>4</w:t>
            </w:r>
          </w:p>
        </w:tc>
        <w:tc>
          <w:tcPr>
            <w:tcW w:w="4466" w:type="dxa"/>
            <w:noWrap w:val="0"/>
            <w:vAlign w:val="center"/>
          </w:tcPr>
          <w:p w14:paraId="7FBBC4DC">
            <w:pPr>
              <w:rPr>
                <w:rFonts w:hint="eastAsia" w:ascii="Times New Roman" w:hAnsi="Times New Roman" w:eastAsiaTheme="minorEastAsia"/>
                <w:color w:val="auto"/>
                <w:szCs w:val="21"/>
                <w:lang w:eastAsia="zh-CN"/>
              </w:rPr>
            </w:pPr>
            <w:r>
              <w:rPr>
                <w:rFonts w:hint="eastAsia" w:ascii="Times New Roman" w:hAnsi="Times New Roman"/>
                <w:color w:val="auto"/>
                <w:szCs w:val="24"/>
              </w:rPr>
              <w:t>严格落实固体废物污染防治措施。对项目产生的固体废物实施分类收集贮存，规范利用处置，做到“资源化减量化、无害化”。按照《危险废物贮存污染控制标准》</w:t>
            </w:r>
            <w:r>
              <w:rPr>
                <w:rFonts w:hint="eastAsia" w:ascii="Times New Roman" w:hAnsi="Times New Roman"/>
                <w:color w:val="auto"/>
                <w:szCs w:val="24"/>
                <w:lang w:eastAsia="zh-CN"/>
              </w:rPr>
              <w:t>（</w:t>
            </w:r>
            <w:r>
              <w:rPr>
                <w:rFonts w:hint="eastAsia" w:ascii="Times New Roman" w:hAnsi="Times New Roman"/>
                <w:color w:val="auto"/>
                <w:szCs w:val="24"/>
              </w:rPr>
              <w:t>GB18597-2023</w:t>
            </w:r>
            <w:r>
              <w:rPr>
                <w:rFonts w:hint="eastAsia" w:ascii="Times New Roman" w:hAnsi="Times New Roman"/>
                <w:color w:val="auto"/>
                <w:szCs w:val="24"/>
                <w:lang w:eastAsia="zh-CN"/>
              </w:rPr>
              <w:t>）</w:t>
            </w:r>
            <w:r>
              <w:rPr>
                <w:rFonts w:hint="eastAsia" w:ascii="Times New Roman" w:hAnsi="Times New Roman"/>
                <w:color w:val="auto"/>
                <w:szCs w:val="24"/>
              </w:rPr>
              <w:t>要求进一步完善建设危险废物暂存场所，危险废物定期委托有资质单位处置</w:t>
            </w:r>
            <w:r>
              <w:rPr>
                <w:rFonts w:hint="eastAsia" w:ascii="Times New Roman" w:hAnsi="Times New Roman"/>
                <w:color w:val="auto"/>
                <w:szCs w:val="24"/>
                <w:lang w:eastAsia="zh-CN"/>
              </w:rPr>
              <w:t>。</w:t>
            </w:r>
          </w:p>
        </w:tc>
        <w:tc>
          <w:tcPr>
            <w:tcW w:w="4215" w:type="dxa"/>
            <w:noWrap w:val="0"/>
            <w:vAlign w:val="center"/>
          </w:tcPr>
          <w:p w14:paraId="766689DD">
            <w:pPr>
              <w:rPr>
                <w:rFonts w:ascii="Times New Roman" w:hAnsi="Times New Roman"/>
                <w:color w:val="auto"/>
                <w:szCs w:val="21"/>
              </w:rPr>
            </w:pPr>
            <w:r>
              <w:rPr>
                <w:rFonts w:hint="eastAsia" w:ascii="Times New Roman" w:hAnsi="Times New Roman"/>
                <w:color w:val="auto"/>
                <w:szCs w:val="24"/>
              </w:rPr>
              <w:t>严格落实固体废物污染防治措施。对项目产生的固体废物实施分类收集贮存，规范利用处置，做到“资源化减量化、无害化”。按照《危险废物贮存污染控制标准》</w:t>
            </w:r>
            <w:r>
              <w:rPr>
                <w:rFonts w:hint="eastAsia" w:ascii="Times New Roman" w:hAnsi="Times New Roman"/>
                <w:color w:val="auto"/>
                <w:szCs w:val="24"/>
                <w:lang w:eastAsia="zh-CN"/>
              </w:rPr>
              <w:t>（</w:t>
            </w:r>
            <w:r>
              <w:rPr>
                <w:rFonts w:hint="eastAsia" w:ascii="Times New Roman" w:hAnsi="Times New Roman"/>
                <w:color w:val="auto"/>
                <w:szCs w:val="24"/>
              </w:rPr>
              <w:t>GB18597-2023</w:t>
            </w:r>
            <w:r>
              <w:rPr>
                <w:rFonts w:hint="eastAsia" w:ascii="Times New Roman" w:hAnsi="Times New Roman"/>
                <w:color w:val="auto"/>
                <w:szCs w:val="24"/>
                <w:lang w:eastAsia="zh-CN"/>
              </w:rPr>
              <w:t>）</w:t>
            </w:r>
            <w:r>
              <w:rPr>
                <w:rFonts w:hint="eastAsia" w:ascii="Times New Roman" w:hAnsi="Times New Roman"/>
                <w:color w:val="auto"/>
                <w:szCs w:val="24"/>
              </w:rPr>
              <w:t>要求进一步完善建设危险废物暂存场所，危险废物定期委托有资质单位处置</w:t>
            </w:r>
            <w:r>
              <w:rPr>
                <w:rFonts w:hint="eastAsia" w:ascii="Times New Roman" w:hAnsi="Times New Roman"/>
                <w:color w:val="auto"/>
                <w:szCs w:val="24"/>
                <w:lang w:eastAsia="zh-CN"/>
              </w:rPr>
              <w:t>。</w:t>
            </w:r>
          </w:p>
        </w:tc>
      </w:tr>
      <w:tr w14:paraId="25CA434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noWrap w:val="0"/>
            <w:vAlign w:val="center"/>
          </w:tcPr>
          <w:p w14:paraId="48E4FD11">
            <w:pPr>
              <w:rPr>
                <w:rFonts w:hint="eastAsia" w:ascii="Times New Roman" w:hAnsi="Times New Roman" w:eastAsia="宋体"/>
                <w:color w:val="auto"/>
                <w:szCs w:val="21"/>
                <w:lang w:eastAsia="zh-CN"/>
              </w:rPr>
            </w:pPr>
            <w:r>
              <w:rPr>
                <w:rFonts w:hint="eastAsia" w:ascii="Times New Roman" w:hAnsi="Times New Roman"/>
                <w:color w:val="auto"/>
                <w:szCs w:val="21"/>
                <w:lang w:val="en-US" w:eastAsia="zh-CN"/>
              </w:rPr>
              <w:t>5</w:t>
            </w:r>
          </w:p>
        </w:tc>
        <w:tc>
          <w:tcPr>
            <w:tcW w:w="4466" w:type="dxa"/>
            <w:noWrap w:val="0"/>
            <w:vAlign w:val="center"/>
          </w:tcPr>
          <w:p w14:paraId="237F5636">
            <w:pPr>
              <w:rPr>
                <w:rFonts w:hint="eastAsia" w:ascii="Times New Roman" w:hAnsi="Times New Roman"/>
                <w:color w:val="auto"/>
                <w:szCs w:val="21"/>
              </w:rPr>
            </w:pPr>
            <w:r>
              <w:rPr>
                <w:rFonts w:hint="eastAsia" w:ascii="Times New Roman" w:hAnsi="Times New Roman"/>
                <w:color w:val="auto"/>
                <w:szCs w:val="21"/>
              </w:rPr>
              <w:t>严格落实噪声污染防治措施。选用低噪声设备</w:t>
            </w:r>
            <w:r>
              <w:rPr>
                <w:rFonts w:hint="eastAsia" w:ascii="Times New Roman" w:hAnsi="Times New Roman"/>
                <w:color w:val="auto"/>
                <w:szCs w:val="21"/>
                <w:lang w:eastAsia="zh-CN"/>
              </w:rPr>
              <w:t>，</w:t>
            </w:r>
            <w:r>
              <w:rPr>
                <w:rFonts w:hint="eastAsia" w:ascii="Times New Roman" w:hAnsi="Times New Roman"/>
                <w:color w:val="auto"/>
                <w:szCs w:val="21"/>
              </w:rPr>
              <w:t>加强设备维护，按《报告书》要求采取减振、消声等措施</w:t>
            </w:r>
            <w:r>
              <w:rPr>
                <w:rFonts w:hint="eastAsia" w:ascii="Times New Roman" w:hAnsi="Times New Roman"/>
                <w:color w:val="auto"/>
                <w:szCs w:val="21"/>
                <w:lang w:eastAsia="zh-CN"/>
              </w:rPr>
              <w:t>，</w:t>
            </w:r>
            <w:r>
              <w:rPr>
                <w:rFonts w:hint="eastAsia" w:ascii="Times New Roman" w:hAnsi="Times New Roman"/>
                <w:color w:val="auto"/>
                <w:szCs w:val="21"/>
              </w:rPr>
              <w:t>确保厂界噪声满足《工业企业厂界环境噪声排放标准》</w:t>
            </w:r>
            <w:r>
              <w:rPr>
                <w:rFonts w:hint="eastAsia" w:ascii="Times New Roman" w:hAnsi="Times New Roman"/>
                <w:color w:val="auto"/>
                <w:szCs w:val="21"/>
                <w:lang w:eastAsia="zh-CN"/>
              </w:rPr>
              <w:t>（</w:t>
            </w:r>
            <w:r>
              <w:rPr>
                <w:rFonts w:hint="eastAsia" w:ascii="Times New Roman" w:hAnsi="Times New Roman"/>
                <w:color w:val="auto"/>
                <w:szCs w:val="21"/>
              </w:rPr>
              <w:t>GB12348-2008</w:t>
            </w:r>
            <w:r>
              <w:rPr>
                <w:rFonts w:hint="eastAsia" w:ascii="Times New Roman" w:hAnsi="Times New Roman"/>
                <w:color w:val="auto"/>
                <w:szCs w:val="21"/>
                <w:lang w:eastAsia="zh-CN"/>
              </w:rPr>
              <w:t>）</w:t>
            </w:r>
            <w:r>
              <w:rPr>
                <w:rFonts w:hint="eastAsia" w:ascii="Times New Roman" w:hAnsi="Times New Roman"/>
                <w:color w:val="auto"/>
                <w:szCs w:val="21"/>
              </w:rPr>
              <w:t>3类区排放限值。</w:t>
            </w:r>
          </w:p>
        </w:tc>
        <w:tc>
          <w:tcPr>
            <w:tcW w:w="4215" w:type="dxa"/>
            <w:noWrap w:val="0"/>
            <w:vAlign w:val="center"/>
          </w:tcPr>
          <w:p w14:paraId="44170720">
            <w:pPr>
              <w:rPr>
                <w:rFonts w:hint="eastAsia" w:ascii="Times New Roman" w:hAnsi="Times New Roman"/>
                <w:color w:val="auto"/>
                <w:szCs w:val="21"/>
              </w:rPr>
            </w:pPr>
            <w:r>
              <w:rPr>
                <w:rFonts w:hint="eastAsia" w:ascii="Times New Roman" w:hAnsi="Times New Roman"/>
                <w:color w:val="auto"/>
                <w:szCs w:val="21"/>
              </w:rPr>
              <w:t>严格落实噪声污染防治措施。选用低噪声设备</w:t>
            </w:r>
            <w:r>
              <w:rPr>
                <w:rFonts w:hint="eastAsia" w:ascii="Times New Roman" w:hAnsi="Times New Roman"/>
                <w:color w:val="auto"/>
                <w:szCs w:val="21"/>
                <w:lang w:eastAsia="zh-CN"/>
              </w:rPr>
              <w:t>，</w:t>
            </w:r>
            <w:r>
              <w:rPr>
                <w:rFonts w:hint="eastAsia" w:ascii="Times New Roman" w:hAnsi="Times New Roman"/>
                <w:color w:val="auto"/>
                <w:szCs w:val="21"/>
              </w:rPr>
              <w:t>加强设备维护，按《报告书》要求采取减振、消声等措施</w:t>
            </w:r>
            <w:r>
              <w:rPr>
                <w:rFonts w:hint="eastAsia" w:ascii="Times New Roman" w:hAnsi="Times New Roman"/>
                <w:color w:val="auto"/>
                <w:szCs w:val="21"/>
                <w:lang w:eastAsia="zh-CN"/>
              </w:rPr>
              <w:t>，</w:t>
            </w:r>
            <w:r>
              <w:rPr>
                <w:rFonts w:hint="eastAsia" w:ascii="Times New Roman" w:hAnsi="Times New Roman"/>
                <w:color w:val="auto"/>
                <w:szCs w:val="21"/>
              </w:rPr>
              <w:t>厂界噪声满足《工业企业厂界环境噪声排放标准》</w:t>
            </w:r>
            <w:r>
              <w:rPr>
                <w:rFonts w:hint="eastAsia" w:ascii="Times New Roman" w:hAnsi="Times New Roman"/>
                <w:color w:val="auto"/>
                <w:szCs w:val="21"/>
                <w:lang w:eastAsia="zh-CN"/>
              </w:rPr>
              <w:t>（</w:t>
            </w:r>
            <w:r>
              <w:rPr>
                <w:rFonts w:hint="eastAsia" w:ascii="Times New Roman" w:hAnsi="Times New Roman"/>
                <w:color w:val="auto"/>
                <w:szCs w:val="21"/>
              </w:rPr>
              <w:t>GB12348-2008</w:t>
            </w:r>
            <w:r>
              <w:rPr>
                <w:rFonts w:hint="eastAsia" w:ascii="Times New Roman" w:hAnsi="Times New Roman"/>
                <w:color w:val="auto"/>
                <w:szCs w:val="21"/>
                <w:lang w:eastAsia="zh-CN"/>
              </w:rPr>
              <w:t>）</w:t>
            </w:r>
            <w:r>
              <w:rPr>
                <w:rFonts w:hint="eastAsia" w:ascii="Times New Roman" w:hAnsi="Times New Roman"/>
                <w:color w:val="auto"/>
                <w:szCs w:val="21"/>
              </w:rPr>
              <w:t>3类区排放限值。</w:t>
            </w:r>
          </w:p>
        </w:tc>
      </w:tr>
      <w:tr w14:paraId="75786ED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noWrap w:val="0"/>
            <w:vAlign w:val="center"/>
          </w:tcPr>
          <w:p w14:paraId="1DA7EE50">
            <w:pPr>
              <w:rPr>
                <w:rFonts w:hint="default" w:ascii="Times New Roman" w:hAnsi="Times New Roman"/>
                <w:color w:val="auto"/>
                <w:szCs w:val="21"/>
                <w:lang w:val="en-US" w:eastAsia="zh-CN"/>
              </w:rPr>
            </w:pPr>
            <w:r>
              <w:rPr>
                <w:rFonts w:hint="eastAsia" w:ascii="Times New Roman" w:hAnsi="Times New Roman"/>
                <w:color w:val="auto"/>
                <w:szCs w:val="21"/>
                <w:lang w:val="en-US" w:eastAsia="zh-CN"/>
              </w:rPr>
              <w:t>6</w:t>
            </w:r>
          </w:p>
        </w:tc>
        <w:tc>
          <w:tcPr>
            <w:tcW w:w="4466" w:type="dxa"/>
            <w:noWrap w:val="0"/>
            <w:vAlign w:val="center"/>
          </w:tcPr>
          <w:p w14:paraId="61D7BA2D">
            <w:pPr>
              <w:rPr>
                <w:rFonts w:hint="eastAsia" w:ascii="Times New Roman" w:hAnsi="Times New Roman" w:eastAsiaTheme="minorEastAsia"/>
                <w:color w:val="auto"/>
                <w:szCs w:val="21"/>
                <w:lang w:eastAsia="zh-CN"/>
              </w:rPr>
            </w:pPr>
            <w:r>
              <w:rPr>
                <w:rFonts w:hint="eastAsia" w:ascii="Times New Roman" w:hAnsi="Times New Roman"/>
                <w:color w:val="auto"/>
                <w:szCs w:val="21"/>
              </w:rPr>
              <w:t>强化环境风险防范和应急管理。按《报告书》要求落实各项环境风险防范措施，本次改扩建项目依托原有300m</w:t>
            </w:r>
            <w:r>
              <w:rPr>
                <w:rFonts w:hint="eastAsia" w:ascii="Times New Roman" w:hAnsi="Times New Roman"/>
                <w:color w:val="auto"/>
                <w:szCs w:val="21"/>
                <w:vertAlign w:val="superscript"/>
                <w:lang w:val="en-US" w:eastAsia="zh-CN"/>
              </w:rPr>
              <w:t>3</w:t>
            </w:r>
            <w:r>
              <w:rPr>
                <w:rFonts w:hint="eastAsia" w:ascii="Times New Roman" w:hAnsi="Times New Roman"/>
                <w:color w:val="auto"/>
                <w:szCs w:val="21"/>
              </w:rPr>
              <w:t>事故应急池，新建180m</w:t>
            </w:r>
            <w:r>
              <w:rPr>
                <w:rFonts w:hint="eastAsia" w:ascii="Times New Roman" w:hAnsi="Times New Roman"/>
                <w:color w:val="auto"/>
                <w:szCs w:val="21"/>
                <w:vertAlign w:val="superscript"/>
              </w:rPr>
              <w:t>3</w:t>
            </w:r>
            <w:r>
              <w:rPr>
                <w:rFonts w:hint="eastAsia" w:ascii="Times New Roman" w:hAnsi="Times New Roman"/>
                <w:color w:val="auto"/>
                <w:szCs w:val="21"/>
              </w:rPr>
              <w:t>初期雨水收集池，储罐区设置围堰，规范建设浓硫酸暂存库，及时修订突发环境事件应急预案并报生态环境主管部门备案，配备相应的应急设施和物资，定期开展应急培训和演练，风险防控工作纳入项目建设“三同时”管理</w:t>
            </w:r>
            <w:r>
              <w:rPr>
                <w:rFonts w:hint="eastAsia" w:ascii="Times New Roman" w:hAnsi="Times New Roman"/>
                <w:color w:val="auto"/>
                <w:szCs w:val="21"/>
                <w:lang w:eastAsia="zh-CN"/>
              </w:rPr>
              <w:t>。</w:t>
            </w:r>
          </w:p>
        </w:tc>
        <w:tc>
          <w:tcPr>
            <w:tcW w:w="4215" w:type="dxa"/>
            <w:noWrap w:val="0"/>
            <w:vAlign w:val="center"/>
          </w:tcPr>
          <w:p w14:paraId="268EFE18">
            <w:pPr>
              <w:rPr>
                <w:rFonts w:hint="eastAsia" w:ascii="Times New Roman" w:hAnsi="Times New Roman"/>
                <w:color w:val="auto"/>
                <w:szCs w:val="21"/>
              </w:rPr>
            </w:pPr>
            <w:r>
              <w:rPr>
                <w:rFonts w:hint="eastAsia" w:ascii="Times New Roman" w:hAnsi="Times New Roman"/>
                <w:color w:val="auto"/>
                <w:szCs w:val="21"/>
              </w:rPr>
              <w:t>强化环境风险防范和应急管理。按《报告书》要求落实各项环境风险防范措施，本次改扩建项目依托原有300m</w:t>
            </w:r>
            <w:r>
              <w:rPr>
                <w:rFonts w:hint="eastAsia" w:ascii="Times New Roman" w:hAnsi="Times New Roman"/>
                <w:color w:val="auto"/>
                <w:szCs w:val="21"/>
                <w:vertAlign w:val="superscript"/>
                <w:lang w:val="en-US" w:eastAsia="zh-CN"/>
              </w:rPr>
              <w:t>3</w:t>
            </w:r>
            <w:r>
              <w:rPr>
                <w:rFonts w:hint="eastAsia" w:ascii="Times New Roman" w:hAnsi="Times New Roman"/>
                <w:color w:val="auto"/>
                <w:szCs w:val="21"/>
              </w:rPr>
              <w:t>事故应急池，新建180m</w:t>
            </w:r>
            <w:r>
              <w:rPr>
                <w:rFonts w:hint="eastAsia" w:ascii="Times New Roman" w:hAnsi="Times New Roman"/>
                <w:color w:val="auto"/>
                <w:szCs w:val="21"/>
                <w:vertAlign w:val="superscript"/>
              </w:rPr>
              <w:t>3</w:t>
            </w:r>
            <w:r>
              <w:rPr>
                <w:rFonts w:hint="eastAsia" w:ascii="Times New Roman" w:hAnsi="Times New Roman"/>
                <w:color w:val="auto"/>
                <w:szCs w:val="21"/>
              </w:rPr>
              <w:t>初期雨水收集池，储罐区设置围堰，规范建设浓硫酸暂存库，</w:t>
            </w:r>
            <w:r>
              <w:rPr>
                <w:rFonts w:hint="eastAsia" w:ascii="Times New Roman" w:hAnsi="Times New Roman"/>
                <w:color w:val="auto"/>
                <w:szCs w:val="21"/>
                <w:lang w:val="en-US" w:eastAsia="zh-CN"/>
              </w:rPr>
              <w:t>正在</w:t>
            </w:r>
            <w:r>
              <w:rPr>
                <w:rFonts w:hint="eastAsia" w:ascii="Times New Roman" w:hAnsi="Times New Roman"/>
                <w:color w:val="auto"/>
                <w:szCs w:val="21"/>
              </w:rPr>
              <w:t>修订突发环境事件应急预案</w:t>
            </w:r>
            <w:r>
              <w:rPr>
                <w:rFonts w:hint="eastAsia" w:ascii="Times New Roman" w:hAnsi="Times New Roman"/>
                <w:color w:val="auto"/>
                <w:szCs w:val="21"/>
                <w:lang w:eastAsia="zh-CN"/>
              </w:rPr>
              <w:t>，</w:t>
            </w:r>
            <w:r>
              <w:rPr>
                <w:rFonts w:hint="eastAsia" w:ascii="Times New Roman" w:hAnsi="Times New Roman"/>
                <w:color w:val="auto"/>
                <w:szCs w:val="21"/>
                <w:lang w:val="en-US" w:eastAsia="zh-CN"/>
              </w:rPr>
              <w:t>应急预案修订完成后</w:t>
            </w:r>
            <w:r>
              <w:rPr>
                <w:rFonts w:hint="eastAsia" w:ascii="Times New Roman" w:hAnsi="Times New Roman"/>
                <w:color w:val="auto"/>
                <w:szCs w:val="21"/>
              </w:rPr>
              <w:t>报生态环境主管部门备案，配备相应的应急设施和物资，定期开展应急培训和演练，风险防控工作纳入项目建设“三同时”管理</w:t>
            </w:r>
            <w:r>
              <w:rPr>
                <w:rFonts w:hint="eastAsia" w:ascii="Times New Roman" w:hAnsi="Times New Roman"/>
                <w:color w:val="auto"/>
                <w:szCs w:val="21"/>
                <w:lang w:eastAsia="zh-CN"/>
              </w:rPr>
              <w:t>。</w:t>
            </w:r>
          </w:p>
        </w:tc>
      </w:tr>
      <w:tr w14:paraId="25D5F41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noWrap w:val="0"/>
            <w:vAlign w:val="center"/>
          </w:tcPr>
          <w:p w14:paraId="76EBA2E2">
            <w:pPr>
              <w:rPr>
                <w:rFonts w:hint="default" w:ascii="Times New Roman" w:hAnsi="Times New Roman"/>
                <w:color w:val="auto"/>
                <w:szCs w:val="21"/>
                <w:lang w:val="en-US" w:eastAsia="zh-CN"/>
              </w:rPr>
            </w:pPr>
            <w:r>
              <w:rPr>
                <w:rFonts w:hint="eastAsia" w:ascii="Times New Roman" w:hAnsi="Times New Roman"/>
                <w:color w:val="auto"/>
                <w:szCs w:val="21"/>
                <w:lang w:val="en-US" w:eastAsia="zh-CN"/>
              </w:rPr>
              <w:t>7</w:t>
            </w:r>
          </w:p>
        </w:tc>
        <w:tc>
          <w:tcPr>
            <w:tcW w:w="4466" w:type="dxa"/>
            <w:noWrap w:val="0"/>
            <w:vAlign w:val="center"/>
          </w:tcPr>
          <w:p w14:paraId="69ADC81C">
            <w:pPr>
              <w:rPr>
                <w:rFonts w:hint="eastAsia" w:ascii="Times New Roman" w:hAnsi="Times New Roman" w:eastAsiaTheme="minorEastAsia"/>
                <w:color w:val="auto"/>
                <w:szCs w:val="21"/>
                <w:lang w:eastAsia="zh-CN"/>
              </w:rPr>
            </w:pPr>
            <w:r>
              <w:rPr>
                <w:rFonts w:hint="eastAsia" w:ascii="Times New Roman" w:hAnsi="Times New Roman"/>
                <w:color w:val="auto"/>
                <w:szCs w:val="21"/>
              </w:rPr>
              <w:t>严格落实环境监测制度。应按照《报告书》规定的环境监测因子和监测计划定期开展自行监测</w:t>
            </w:r>
            <w:r>
              <w:rPr>
                <w:rFonts w:hint="eastAsia" w:ascii="Times New Roman" w:hAnsi="Times New Roman"/>
                <w:color w:val="auto"/>
                <w:szCs w:val="21"/>
                <w:lang w:eastAsia="zh-CN"/>
              </w:rPr>
              <w:t>。</w:t>
            </w:r>
          </w:p>
        </w:tc>
        <w:tc>
          <w:tcPr>
            <w:tcW w:w="4215" w:type="dxa"/>
            <w:noWrap w:val="0"/>
            <w:vAlign w:val="center"/>
          </w:tcPr>
          <w:p w14:paraId="33D8629E">
            <w:pPr>
              <w:rPr>
                <w:rFonts w:hint="eastAsia" w:ascii="Times New Roman" w:hAnsi="Times New Roman"/>
                <w:color w:val="auto"/>
                <w:szCs w:val="21"/>
              </w:rPr>
            </w:pPr>
            <w:r>
              <w:rPr>
                <w:rFonts w:hint="eastAsia" w:ascii="Times New Roman" w:hAnsi="Times New Roman"/>
                <w:color w:val="auto"/>
                <w:szCs w:val="21"/>
              </w:rPr>
              <w:t>严格落实环境监测制度。按照《报告书》规定的环境监测因子和监测计划定期开展自行监测</w:t>
            </w:r>
            <w:r>
              <w:rPr>
                <w:rFonts w:hint="eastAsia" w:ascii="Times New Roman" w:hAnsi="Times New Roman"/>
                <w:color w:val="auto"/>
                <w:szCs w:val="21"/>
                <w:lang w:eastAsia="zh-CN"/>
              </w:rPr>
              <w:t>。</w:t>
            </w:r>
          </w:p>
        </w:tc>
      </w:tr>
      <w:tr w14:paraId="7E5B725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noWrap w:val="0"/>
            <w:vAlign w:val="center"/>
          </w:tcPr>
          <w:p w14:paraId="2A448768">
            <w:pPr>
              <w:rPr>
                <w:rFonts w:hint="default" w:ascii="Times New Roman" w:hAnsi="Times New Roman"/>
                <w:color w:val="auto"/>
                <w:szCs w:val="21"/>
                <w:lang w:val="en-US" w:eastAsia="zh-CN"/>
              </w:rPr>
            </w:pPr>
            <w:r>
              <w:rPr>
                <w:rFonts w:hint="eastAsia" w:ascii="Times New Roman" w:hAnsi="Times New Roman"/>
                <w:color w:val="auto"/>
                <w:szCs w:val="21"/>
                <w:lang w:val="en-US" w:eastAsia="zh-CN"/>
              </w:rPr>
              <w:t>8</w:t>
            </w:r>
          </w:p>
        </w:tc>
        <w:tc>
          <w:tcPr>
            <w:tcW w:w="4466" w:type="dxa"/>
            <w:noWrap w:val="0"/>
            <w:vAlign w:val="center"/>
          </w:tcPr>
          <w:p w14:paraId="7BBC7332">
            <w:pPr>
              <w:rPr>
                <w:rFonts w:hint="eastAsia" w:ascii="Times New Roman" w:hAnsi="Times New Roman"/>
                <w:color w:val="auto"/>
                <w:szCs w:val="21"/>
              </w:rPr>
            </w:pPr>
            <w:r>
              <w:rPr>
                <w:rFonts w:hint="eastAsia" w:ascii="Times New Roman" w:hAnsi="Times New Roman"/>
                <w:color w:val="auto"/>
                <w:szCs w:val="21"/>
              </w:rPr>
              <w:t>严格落实总量控制制度。本次改扩建项目不新增主要污染物排放总量，按原有项目污染物总量控制指标执行。</w:t>
            </w:r>
          </w:p>
        </w:tc>
        <w:tc>
          <w:tcPr>
            <w:tcW w:w="4215" w:type="dxa"/>
            <w:noWrap w:val="0"/>
            <w:vAlign w:val="center"/>
          </w:tcPr>
          <w:p w14:paraId="6AF9FD27">
            <w:pPr>
              <w:rPr>
                <w:rFonts w:hint="eastAsia" w:ascii="Times New Roman" w:hAnsi="Times New Roman"/>
                <w:color w:val="auto"/>
                <w:szCs w:val="21"/>
              </w:rPr>
            </w:pPr>
            <w:r>
              <w:rPr>
                <w:rFonts w:hint="eastAsia" w:ascii="Times New Roman" w:hAnsi="Times New Roman"/>
                <w:color w:val="auto"/>
                <w:szCs w:val="21"/>
              </w:rPr>
              <w:t>严格落实总量控制制度。本次改扩建项目不新增主要污染物排放总量，按原有项目污染物总量控制指标执行。</w:t>
            </w:r>
          </w:p>
        </w:tc>
      </w:tr>
      <w:tr w14:paraId="03A2969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noWrap w:val="0"/>
            <w:vAlign w:val="center"/>
          </w:tcPr>
          <w:p w14:paraId="1DCF3177">
            <w:pPr>
              <w:rPr>
                <w:rFonts w:hint="default" w:ascii="Times New Roman" w:hAnsi="Times New Roman"/>
                <w:color w:val="auto"/>
                <w:szCs w:val="21"/>
                <w:lang w:val="en-US" w:eastAsia="zh-CN"/>
              </w:rPr>
            </w:pPr>
            <w:r>
              <w:rPr>
                <w:rFonts w:hint="eastAsia" w:ascii="Times New Roman" w:hAnsi="Times New Roman"/>
                <w:color w:val="auto"/>
                <w:szCs w:val="21"/>
                <w:lang w:val="en-US" w:eastAsia="zh-CN"/>
              </w:rPr>
              <w:t>9</w:t>
            </w:r>
          </w:p>
        </w:tc>
        <w:tc>
          <w:tcPr>
            <w:tcW w:w="4466" w:type="dxa"/>
            <w:noWrap w:val="0"/>
            <w:vAlign w:val="center"/>
          </w:tcPr>
          <w:p w14:paraId="54FF4851">
            <w:pPr>
              <w:rPr>
                <w:rFonts w:hint="eastAsia" w:ascii="Times New Roman" w:hAnsi="Times New Roman"/>
                <w:color w:val="auto"/>
                <w:szCs w:val="21"/>
              </w:rPr>
            </w:pPr>
            <w:r>
              <w:rPr>
                <w:rFonts w:hint="eastAsia" w:ascii="Times New Roman" w:hAnsi="Times New Roman"/>
                <w:color w:val="auto"/>
                <w:szCs w:val="21"/>
              </w:rPr>
              <w:t>严格落实《国务院安委会办公室生态环部应急管理部关于进一步加强环保设备设施安全生产工作的通知》</w:t>
            </w:r>
            <w:r>
              <w:rPr>
                <w:rFonts w:hint="eastAsia" w:ascii="Times New Roman" w:hAnsi="Times New Roman"/>
                <w:color w:val="auto"/>
                <w:szCs w:val="21"/>
                <w:lang w:eastAsia="zh-CN"/>
              </w:rPr>
              <w:t>（</w:t>
            </w:r>
            <w:r>
              <w:rPr>
                <w:rFonts w:hint="eastAsia" w:ascii="Times New Roman" w:hAnsi="Times New Roman"/>
                <w:color w:val="auto"/>
                <w:szCs w:val="21"/>
              </w:rPr>
              <w:t>安委办明电</w:t>
            </w:r>
            <w:r>
              <w:rPr>
                <w:rFonts w:hint="eastAsia" w:ascii="Times New Roman" w:hAnsi="Times New Roman"/>
                <w:color w:val="auto"/>
                <w:szCs w:val="21"/>
                <w:lang w:val="en-US" w:eastAsia="zh-CN"/>
              </w:rPr>
              <w:t>[</w:t>
            </w:r>
            <w:r>
              <w:rPr>
                <w:rFonts w:hint="eastAsia" w:ascii="Times New Roman" w:hAnsi="Times New Roman"/>
                <w:color w:val="auto"/>
                <w:szCs w:val="21"/>
              </w:rPr>
              <w:t>2022]17号</w:t>
            </w:r>
            <w:r>
              <w:rPr>
                <w:rFonts w:hint="eastAsia" w:ascii="Times New Roman" w:hAnsi="Times New Roman"/>
                <w:color w:val="auto"/>
                <w:szCs w:val="21"/>
                <w:lang w:eastAsia="zh-CN"/>
              </w:rPr>
              <w:t>）</w:t>
            </w:r>
            <w:r>
              <w:rPr>
                <w:rFonts w:hint="eastAsia" w:ascii="Times New Roman" w:hAnsi="Times New Roman"/>
                <w:color w:val="auto"/>
                <w:szCs w:val="21"/>
              </w:rPr>
              <w:t>《宣城市应急管理局 宣城市生态环境局关于加强工业企业环保设施安全生产工作的通知》</w:t>
            </w:r>
            <w:r>
              <w:rPr>
                <w:rFonts w:hint="eastAsia" w:ascii="Times New Roman" w:hAnsi="Times New Roman"/>
                <w:color w:val="auto"/>
                <w:szCs w:val="21"/>
                <w:lang w:eastAsia="zh-CN"/>
              </w:rPr>
              <w:t>（</w:t>
            </w:r>
            <w:r>
              <w:rPr>
                <w:rFonts w:hint="eastAsia" w:ascii="Times New Roman" w:hAnsi="Times New Roman"/>
                <w:color w:val="auto"/>
                <w:szCs w:val="21"/>
              </w:rPr>
              <w:t>宣应急〔2023〕58号</w:t>
            </w:r>
            <w:r>
              <w:rPr>
                <w:rFonts w:hint="eastAsia" w:ascii="Times New Roman" w:hAnsi="Times New Roman"/>
                <w:color w:val="auto"/>
                <w:szCs w:val="21"/>
                <w:lang w:eastAsia="zh-CN"/>
              </w:rPr>
              <w:t>）</w:t>
            </w:r>
            <w:r>
              <w:rPr>
                <w:rFonts w:hint="eastAsia" w:ascii="Times New Roman" w:hAnsi="Times New Roman"/>
                <w:color w:val="auto"/>
                <w:szCs w:val="21"/>
              </w:rPr>
              <w:t>中要求，有效防范和遏制环保设备设施安全事故发生。</w:t>
            </w:r>
          </w:p>
        </w:tc>
        <w:tc>
          <w:tcPr>
            <w:tcW w:w="4215" w:type="dxa"/>
            <w:noWrap w:val="0"/>
            <w:vAlign w:val="center"/>
          </w:tcPr>
          <w:p w14:paraId="53402549">
            <w:pPr>
              <w:rPr>
                <w:rFonts w:hint="eastAsia" w:ascii="Times New Roman" w:hAnsi="Times New Roman"/>
                <w:color w:val="auto"/>
                <w:szCs w:val="21"/>
              </w:rPr>
            </w:pPr>
            <w:r>
              <w:rPr>
                <w:rFonts w:hint="eastAsia" w:ascii="Times New Roman" w:hAnsi="Times New Roman"/>
                <w:color w:val="auto"/>
                <w:szCs w:val="21"/>
              </w:rPr>
              <w:t>严格落实《国务院安委会办公室生态环部应急管理部关于进一步加强环保设备设施安全生产工作的通知》</w:t>
            </w:r>
            <w:r>
              <w:rPr>
                <w:rFonts w:hint="eastAsia" w:ascii="Times New Roman" w:hAnsi="Times New Roman"/>
                <w:color w:val="auto"/>
                <w:szCs w:val="21"/>
                <w:lang w:eastAsia="zh-CN"/>
              </w:rPr>
              <w:t>（</w:t>
            </w:r>
            <w:r>
              <w:rPr>
                <w:rFonts w:hint="eastAsia" w:ascii="Times New Roman" w:hAnsi="Times New Roman"/>
                <w:color w:val="auto"/>
                <w:szCs w:val="21"/>
              </w:rPr>
              <w:t>安委办明电</w:t>
            </w:r>
            <w:r>
              <w:rPr>
                <w:rFonts w:hint="eastAsia" w:ascii="Times New Roman" w:hAnsi="Times New Roman"/>
                <w:color w:val="auto"/>
                <w:szCs w:val="21"/>
                <w:lang w:val="en-US" w:eastAsia="zh-CN"/>
              </w:rPr>
              <w:t>[</w:t>
            </w:r>
            <w:r>
              <w:rPr>
                <w:rFonts w:hint="eastAsia" w:ascii="Times New Roman" w:hAnsi="Times New Roman"/>
                <w:color w:val="auto"/>
                <w:szCs w:val="21"/>
              </w:rPr>
              <w:t>2022]17号</w:t>
            </w:r>
            <w:r>
              <w:rPr>
                <w:rFonts w:hint="eastAsia" w:ascii="Times New Roman" w:hAnsi="Times New Roman"/>
                <w:color w:val="auto"/>
                <w:szCs w:val="21"/>
                <w:lang w:eastAsia="zh-CN"/>
              </w:rPr>
              <w:t>）</w:t>
            </w:r>
            <w:r>
              <w:rPr>
                <w:rFonts w:hint="eastAsia" w:ascii="Times New Roman" w:hAnsi="Times New Roman"/>
                <w:color w:val="auto"/>
                <w:szCs w:val="21"/>
              </w:rPr>
              <w:t>《宣城市应急管理局 宣城市生态环境局关于加强工业企业环保设施安全生产工作的通知》</w:t>
            </w:r>
            <w:r>
              <w:rPr>
                <w:rFonts w:hint="eastAsia" w:ascii="Times New Roman" w:hAnsi="Times New Roman"/>
                <w:color w:val="auto"/>
                <w:szCs w:val="21"/>
                <w:lang w:eastAsia="zh-CN"/>
              </w:rPr>
              <w:t>（</w:t>
            </w:r>
            <w:r>
              <w:rPr>
                <w:rFonts w:hint="eastAsia" w:ascii="Times New Roman" w:hAnsi="Times New Roman"/>
                <w:color w:val="auto"/>
                <w:szCs w:val="21"/>
              </w:rPr>
              <w:t>宣应急〔2023〕58号</w:t>
            </w:r>
            <w:r>
              <w:rPr>
                <w:rFonts w:hint="eastAsia" w:ascii="Times New Roman" w:hAnsi="Times New Roman"/>
                <w:color w:val="auto"/>
                <w:szCs w:val="21"/>
                <w:lang w:eastAsia="zh-CN"/>
              </w:rPr>
              <w:t>）</w:t>
            </w:r>
            <w:r>
              <w:rPr>
                <w:rFonts w:hint="eastAsia" w:ascii="Times New Roman" w:hAnsi="Times New Roman"/>
                <w:color w:val="auto"/>
                <w:szCs w:val="21"/>
              </w:rPr>
              <w:t>中要求，有效防范和遏制环保设备设施安全事故发生。</w:t>
            </w:r>
          </w:p>
        </w:tc>
      </w:tr>
      <w:tr w14:paraId="5672E0E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noWrap w:val="0"/>
            <w:vAlign w:val="center"/>
          </w:tcPr>
          <w:p w14:paraId="37A3D7DD">
            <w:pPr>
              <w:rPr>
                <w:rFonts w:hint="default" w:ascii="Times New Roman" w:hAnsi="Times New Roman"/>
                <w:color w:val="auto"/>
                <w:szCs w:val="21"/>
                <w:lang w:val="en-US" w:eastAsia="zh-CN"/>
              </w:rPr>
            </w:pPr>
            <w:r>
              <w:rPr>
                <w:rFonts w:hint="eastAsia" w:ascii="Times New Roman" w:hAnsi="Times New Roman"/>
                <w:color w:val="auto"/>
                <w:szCs w:val="21"/>
                <w:lang w:val="en-US" w:eastAsia="zh-CN"/>
              </w:rPr>
              <w:t>10</w:t>
            </w:r>
          </w:p>
        </w:tc>
        <w:tc>
          <w:tcPr>
            <w:tcW w:w="4466" w:type="dxa"/>
            <w:noWrap w:val="0"/>
            <w:vAlign w:val="center"/>
          </w:tcPr>
          <w:p w14:paraId="59894C8D">
            <w:pPr>
              <w:rPr>
                <w:rFonts w:hint="eastAsia" w:ascii="Times New Roman" w:hAnsi="Times New Roman"/>
                <w:color w:val="auto"/>
                <w:szCs w:val="21"/>
              </w:rPr>
            </w:pPr>
            <w:r>
              <w:rPr>
                <w:rFonts w:hint="eastAsia" w:ascii="Times New Roman" w:hAnsi="Times New Roman"/>
                <w:color w:val="auto"/>
                <w:szCs w:val="21"/>
              </w:rPr>
              <w:t>严格执行排污许可制度。建设项目发生实际排污行为之前应申领排污许可证，建设项目无证排污或不按证排污的，根据环境保护设施验收条件有关规定，你单位不得出具环境保护设施验收合格意见。</w:t>
            </w:r>
          </w:p>
        </w:tc>
        <w:tc>
          <w:tcPr>
            <w:tcW w:w="4215" w:type="dxa"/>
            <w:noWrap w:val="0"/>
            <w:vAlign w:val="center"/>
          </w:tcPr>
          <w:p w14:paraId="6F571B0F">
            <w:pPr>
              <w:rPr>
                <w:rFonts w:hint="eastAsia" w:ascii="Times New Roman" w:hAnsi="Times New Roman"/>
                <w:color w:val="auto"/>
                <w:szCs w:val="21"/>
              </w:rPr>
            </w:pPr>
            <w:r>
              <w:rPr>
                <w:rFonts w:hint="eastAsia" w:ascii="Times New Roman" w:hAnsi="Times New Roman"/>
                <w:color w:val="auto"/>
                <w:szCs w:val="21"/>
              </w:rPr>
              <w:t>严格执行排污许可制度。</w:t>
            </w:r>
            <w:r>
              <w:rPr>
                <w:rFonts w:hint="eastAsia" w:ascii="Times New Roman" w:hAnsi="Times New Roman"/>
                <w:color w:val="auto"/>
                <w:szCs w:val="21"/>
                <w:lang w:val="en-US" w:eastAsia="zh-CN"/>
              </w:rPr>
              <w:t>企业正在变更排污许可</w:t>
            </w:r>
            <w:r>
              <w:rPr>
                <w:rFonts w:hint="eastAsia" w:ascii="Times New Roman" w:hAnsi="Times New Roman"/>
                <w:color w:val="auto"/>
                <w:szCs w:val="21"/>
              </w:rPr>
              <w:t>。</w:t>
            </w:r>
          </w:p>
        </w:tc>
      </w:tr>
      <w:tr w14:paraId="420FE3C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noWrap w:val="0"/>
            <w:vAlign w:val="center"/>
          </w:tcPr>
          <w:p w14:paraId="470B6474">
            <w:pPr>
              <w:rPr>
                <w:rFonts w:hint="default" w:ascii="Times New Roman" w:hAnsi="Times New Roman"/>
                <w:color w:val="auto"/>
                <w:szCs w:val="21"/>
                <w:lang w:val="en-US" w:eastAsia="zh-CN"/>
              </w:rPr>
            </w:pPr>
            <w:r>
              <w:rPr>
                <w:rFonts w:hint="eastAsia" w:ascii="Times New Roman" w:hAnsi="Times New Roman"/>
                <w:color w:val="auto"/>
                <w:szCs w:val="21"/>
                <w:lang w:val="en-US" w:eastAsia="zh-CN"/>
              </w:rPr>
              <w:t>11</w:t>
            </w:r>
          </w:p>
        </w:tc>
        <w:tc>
          <w:tcPr>
            <w:tcW w:w="4466" w:type="dxa"/>
            <w:noWrap w:val="0"/>
            <w:vAlign w:val="center"/>
          </w:tcPr>
          <w:p w14:paraId="6DDF1D3D">
            <w:pPr>
              <w:rPr>
                <w:rFonts w:hint="eastAsia" w:ascii="Times New Roman" w:hAnsi="Times New Roman"/>
                <w:color w:val="auto"/>
                <w:szCs w:val="21"/>
              </w:rPr>
            </w:pPr>
            <w:r>
              <w:rPr>
                <w:rFonts w:hint="eastAsia" w:ascii="Times New Roman" w:hAnsi="Times New Roman"/>
                <w:color w:val="auto"/>
                <w:szCs w:val="21"/>
              </w:rPr>
              <w:t>项目建设应严格执行环境保护设施与主体工程同时设计、同时施工、同时投入使用的环境保护“三同时”制度，并按照有关规定自主组织竣工环保验收，验收报告公示期满后5个工作日内，应当登录全国建设项目竣工环境保护验收信息平台，填报建设项目基本信息、环境保护设施验收情况等相关信息。</w:t>
            </w:r>
          </w:p>
        </w:tc>
        <w:tc>
          <w:tcPr>
            <w:tcW w:w="4215" w:type="dxa"/>
            <w:noWrap w:val="0"/>
            <w:vAlign w:val="center"/>
          </w:tcPr>
          <w:p w14:paraId="37772246">
            <w:pPr>
              <w:rPr>
                <w:rFonts w:hint="default" w:ascii="Times New Roman" w:hAnsi="Times New Roman" w:eastAsiaTheme="minorEastAsia"/>
                <w:color w:val="auto"/>
                <w:szCs w:val="21"/>
                <w:lang w:val="en-US" w:eastAsia="zh-CN"/>
              </w:rPr>
            </w:pPr>
            <w:r>
              <w:rPr>
                <w:rFonts w:hint="eastAsia" w:ascii="Times New Roman" w:hAnsi="Times New Roman"/>
                <w:color w:val="auto"/>
                <w:szCs w:val="21"/>
                <w:lang w:val="en-US" w:eastAsia="zh-CN"/>
              </w:rPr>
              <w:t>项目正在进行</w:t>
            </w:r>
            <w:r>
              <w:rPr>
                <w:rFonts w:hint="eastAsia" w:ascii="Times New Roman" w:hAnsi="Times New Roman"/>
                <w:color w:val="auto"/>
                <w:szCs w:val="21"/>
              </w:rPr>
              <w:t>竣工环境保护验收</w:t>
            </w:r>
            <w:r>
              <w:rPr>
                <w:rFonts w:hint="eastAsia" w:ascii="Times New Roman" w:hAnsi="Times New Roman"/>
                <w:color w:val="auto"/>
                <w:szCs w:val="21"/>
                <w:lang w:val="en-US" w:eastAsia="zh-CN"/>
              </w:rPr>
              <w:t>工作。</w:t>
            </w:r>
          </w:p>
        </w:tc>
      </w:tr>
      <w:tr w14:paraId="7479C80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noWrap w:val="0"/>
            <w:vAlign w:val="center"/>
          </w:tcPr>
          <w:p w14:paraId="3D4A3855">
            <w:pPr>
              <w:rPr>
                <w:rFonts w:hint="default" w:ascii="Times New Roman" w:hAnsi="Times New Roman"/>
                <w:color w:val="auto"/>
                <w:szCs w:val="21"/>
                <w:lang w:val="en-US" w:eastAsia="zh-CN"/>
              </w:rPr>
            </w:pPr>
            <w:r>
              <w:rPr>
                <w:rFonts w:hint="eastAsia" w:ascii="Times New Roman" w:hAnsi="Times New Roman"/>
                <w:color w:val="auto"/>
                <w:szCs w:val="21"/>
                <w:lang w:val="en-US" w:eastAsia="zh-CN"/>
              </w:rPr>
              <w:t>12</w:t>
            </w:r>
          </w:p>
        </w:tc>
        <w:tc>
          <w:tcPr>
            <w:tcW w:w="4466" w:type="dxa"/>
            <w:noWrap w:val="0"/>
            <w:vAlign w:val="center"/>
          </w:tcPr>
          <w:p w14:paraId="4455FA41">
            <w:pPr>
              <w:rPr>
                <w:rFonts w:hint="eastAsia" w:ascii="Times New Roman" w:hAnsi="Times New Roman"/>
                <w:color w:val="auto"/>
                <w:szCs w:val="21"/>
              </w:rPr>
            </w:pPr>
            <w:r>
              <w:rPr>
                <w:rFonts w:hint="eastAsia" w:ascii="Times New Roman" w:hAnsi="Times New Roman"/>
                <w:color w:val="auto"/>
                <w:szCs w:val="21"/>
              </w:rPr>
              <w:t>你公司应严格按《报告书》要求进行项目建设，未经我局批准，不得擅自变更，若项目性质、规模、地点、采用的生产工艺或污染防治措施发生重大变动，你公司应重新报批本项目的环评文件。</w:t>
            </w:r>
          </w:p>
        </w:tc>
        <w:tc>
          <w:tcPr>
            <w:tcW w:w="4215" w:type="dxa"/>
            <w:noWrap w:val="0"/>
            <w:vAlign w:val="center"/>
          </w:tcPr>
          <w:p w14:paraId="03ABAA67">
            <w:pPr>
              <w:rPr>
                <w:rFonts w:hint="default" w:ascii="Times New Roman" w:hAnsi="Times New Roman" w:eastAsiaTheme="minorEastAsia"/>
                <w:color w:val="auto"/>
                <w:szCs w:val="21"/>
                <w:lang w:val="en-US" w:eastAsia="zh-CN"/>
              </w:rPr>
            </w:pPr>
            <w:r>
              <w:rPr>
                <w:rFonts w:hint="eastAsia" w:ascii="Times New Roman" w:hAnsi="Times New Roman"/>
                <w:color w:val="auto"/>
                <w:szCs w:val="21"/>
                <w:lang w:val="en-US" w:eastAsia="zh-CN"/>
              </w:rPr>
              <w:t>项目</w:t>
            </w:r>
            <w:r>
              <w:rPr>
                <w:rFonts w:hint="eastAsia" w:ascii="Times New Roman" w:hAnsi="Times New Roman"/>
                <w:color w:val="auto"/>
                <w:szCs w:val="21"/>
              </w:rPr>
              <w:t>性质、规模、地点、采用的生产工艺</w:t>
            </w:r>
            <w:r>
              <w:rPr>
                <w:rFonts w:hint="eastAsia" w:ascii="Times New Roman" w:hAnsi="Times New Roman"/>
                <w:color w:val="auto"/>
                <w:szCs w:val="21"/>
                <w:lang w:val="en-US" w:eastAsia="zh-CN"/>
              </w:rPr>
              <w:t>均未发生变化，废气治理措施发生变化，但不属于重大变动。</w:t>
            </w:r>
          </w:p>
        </w:tc>
      </w:tr>
    </w:tbl>
    <w:p w14:paraId="50EA5C5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outlineLvl w:val="1"/>
        <w:rPr>
          <w:rFonts w:hint="eastAsia" w:ascii="Times New Roman" w:hAnsi="Times New Roman" w:cs="Times New Roman"/>
          <w:b/>
          <w:bCs/>
          <w:sz w:val="24"/>
          <w:szCs w:val="32"/>
          <w:lang w:val="en-US" w:eastAsia="zh-CN"/>
        </w:rPr>
      </w:pPr>
      <w:r>
        <w:rPr>
          <w:rFonts w:hint="eastAsia" w:ascii="Times New Roman" w:hAnsi="Times New Roman" w:cs="Times New Roman"/>
          <w:b/>
          <w:bCs/>
          <w:sz w:val="24"/>
          <w:szCs w:val="32"/>
          <w:lang w:val="en-US" w:eastAsia="zh-CN"/>
        </w:rPr>
        <w:t>1.3主要变动内容</w:t>
      </w:r>
    </w:p>
    <w:p w14:paraId="4967E11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sz w:val="24"/>
          <w:szCs w:val="32"/>
          <w:lang w:eastAsia="zh-CN"/>
        </w:rPr>
      </w:pPr>
      <w:r>
        <w:rPr>
          <w:rFonts w:hint="eastAsia" w:ascii="Times New Roman" w:hAnsi="Times New Roman" w:cs="Times New Roman"/>
          <w:sz w:val="24"/>
          <w:szCs w:val="32"/>
          <w:lang w:eastAsia="zh-CN"/>
        </w:rPr>
        <w:t>安徽伽雅生态工程有限公司</w:t>
      </w:r>
      <w:r>
        <w:rPr>
          <w:rFonts w:hint="default" w:ascii="Times New Roman" w:hAnsi="Times New Roman" w:cs="Times New Roman"/>
          <w:sz w:val="24"/>
          <w:szCs w:val="32"/>
          <w:lang w:eastAsia="zh-CN"/>
        </w:rPr>
        <w:t>“</w:t>
      </w:r>
      <w:r>
        <w:rPr>
          <w:rFonts w:hint="eastAsia" w:ascii="Times New Roman" w:hAnsi="Times New Roman" w:cs="Times New Roman"/>
          <w:sz w:val="24"/>
          <w:szCs w:val="32"/>
          <w:lang w:eastAsia="zh-CN"/>
        </w:rPr>
        <w:t>年产10万吨新型肥料工艺升级及年产2万吨液体肥料改扩建项目</w:t>
      </w:r>
      <w:r>
        <w:rPr>
          <w:rFonts w:hint="default" w:ascii="Times New Roman" w:hAnsi="Times New Roman" w:cs="Times New Roman"/>
          <w:sz w:val="24"/>
          <w:szCs w:val="32"/>
          <w:lang w:eastAsia="zh-CN"/>
        </w:rPr>
        <w:t>”实际建设与环评变化</w:t>
      </w:r>
      <w:r>
        <w:rPr>
          <w:rFonts w:hint="eastAsia" w:ascii="Times New Roman" w:hAnsi="Times New Roman" w:cs="Times New Roman"/>
          <w:sz w:val="24"/>
          <w:szCs w:val="32"/>
          <w:lang w:eastAsia="zh-CN"/>
        </w:rPr>
        <w:t>为</w:t>
      </w:r>
      <w:r>
        <w:rPr>
          <w:rFonts w:hint="default" w:ascii="Times New Roman" w:hAnsi="Times New Roman" w:cs="Times New Roman"/>
          <w:sz w:val="24"/>
          <w:szCs w:val="32"/>
          <w:lang w:eastAsia="zh-CN"/>
        </w:rPr>
        <w:t>：</w:t>
      </w:r>
    </w:p>
    <w:p w14:paraId="039D873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cs="Times New Roman"/>
          <w:sz w:val="24"/>
          <w:szCs w:val="32"/>
          <w:lang w:val="en-US" w:eastAsia="zh-CN"/>
        </w:rPr>
      </w:pPr>
      <w:r>
        <w:rPr>
          <w:rFonts w:hint="eastAsia" w:ascii="Times New Roman" w:hAnsi="Times New Roman" w:cs="Times New Roman"/>
          <w:sz w:val="24"/>
          <w:szCs w:val="32"/>
          <w:lang w:val="en-US" w:eastAsia="zh-CN"/>
        </w:rPr>
        <w:t>（1）环评设计在挤压造粒生产线投料口上方设置集气罩收集投料废气；实际建设原料采用叉车整包倒置投入投料漏斗中，包装袋与投料口密合，袋口倒置，在漏斗内拆包，粉尘逸出量较少。</w:t>
      </w:r>
    </w:p>
    <w:p w14:paraId="2A385E5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sz w:val="24"/>
          <w:szCs w:val="32"/>
          <w:lang w:val="en-US" w:eastAsia="zh-CN"/>
        </w:rPr>
      </w:pPr>
      <w:r>
        <w:rPr>
          <w:rFonts w:hint="eastAsia" w:ascii="Times New Roman" w:hAnsi="Times New Roman" w:cs="Times New Roman"/>
          <w:sz w:val="24"/>
          <w:szCs w:val="32"/>
          <w:lang w:val="en-US" w:eastAsia="zh-CN"/>
        </w:rPr>
        <w:t>（2）环评设计破碎、</w:t>
      </w:r>
      <w:r>
        <w:rPr>
          <w:rFonts w:hint="default" w:ascii="Times New Roman" w:hAnsi="Times New Roman" w:eastAsia="宋体" w:cs="Times New Roman"/>
          <w:color w:val="auto"/>
          <w:sz w:val="24"/>
          <w:szCs w:val="28"/>
          <w:highlight w:val="none"/>
          <w:lang w:val="en-US" w:eastAsia="zh-CN" w:bidi="ar"/>
        </w:rPr>
        <w:t>搅拌过程废气收集后经1套“旋风除尘+重力沉降室”</w:t>
      </w:r>
      <w:r>
        <w:rPr>
          <w:rFonts w:hint="eastAsia" w:ascii="Times New Roman" w:hAnsi="Times New Roman" w:eastAsia="宋体" w:cs="Times New Roman"/>
          <w:color w:val="auto"/>
          <w:sz w:val="24"/>
          <w:szCs w:val="28"/>
          <w:highlight w:val="none"/>
          <w:lang w:val="en-US" w:eastAsia="zh-CN" w:bidi="ar"/>
        </w:rPr>
        <w:t>预处理后与其他工艺废气一起进入水洗塔</w:t>
      </w:r>
      <w:r>
        <w:rPr>
          <w:rFonts w:hint="default" w:ascii="Times New Roman" w:hAnsi="Times New Roman" w:eastAsia="宋体" w:cs="Times New Roman"/>
          <w:color w:val="auto"/>
          <w:sz w:val="24"/>
          <w:szCs w:val="28"/>
          <w:highlight w:val="none"/>
          <w:lang w:val="en-US" w:eastAsia="zh-CN" w:bidi="ar"/>
        </w:rPr>
        <w:t>处理</w:t>
      </w:r>
      <w:r>
        <w:rPr>
          <w:rFonts w:hint="eastAsia" w:ascii="Times New Roman" w:hAnsi="Times New Roman" w:eastAsia="宋体" w:cs="Times New Roman"/>
          <w:color w:val="auto"/>
          <w:sz w:val="24"/>
          <w:szCs w:val="28"/>
          <w:highlight w:val="none"/>
          <w:lang w:val="en-US" w:eastAsia="zh-CN" w:bidi="ar"/>
        </w:rPr>
        <w:t>；实际破碎、搅拌设备均为密闭连通设备，搅拌废气随物料一起进入挤压造粒系统，作为挤压造粒工艺原料</w:t>
      </w:r>
      <w:r>
        <w:rPr>
          <w:rFonts w:hint="eastAsia" w:ascii="Times New Roman" w:hAnsi="Times New Roman" w:cs="Times New Roman"/>
          <w:sz w:val="24"/>
          <w:szCs w:val="32"/>
          <w:lang w:val="en-US" w:eastAsia="zh-CN"/>
        </w:rPr>
        <w:t>。</w:t>
      </w:r>
    </w:p>
    <w:p w14:paraId="00A0701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sz w:val="24"/>
          <w:szCs w:val="32"/>
          <w:lang w:val="en-US" w:eastAsia="zh-CN"/>
        </w:rPr>
      </w:pPr>
      <w:r>
        <w:rPr>
          <w:rFonts w:hint="eastAsia" w:ascii="Times New Roman" w:hAnsi="Times New Roman" w:cs="Times New Roman"/>
          <w:sz w:val="24"/>
          <w:szCs w:val="32"/>
          <w:lang w:val="en-US" w:eastAsia="zh-CN"/>
        </w:rPr>
        <w:t>（3）环评设计</w:t>
      </w:r>
      <w:r>
        <w:rPr>
          <w:rFonts w:hint="default" w:ascii="Times New Roman" w:hAnsi="Times New Roman" w:cs="Times New Roman"/>
          <w:color w:val="auto"/>
          <w:sz w:val="24"/>
          <w:szCs w:val="28"/>
          <w:highlight w:val="none"/>
          <w:lang w:val="en-US" w:eastAsia="zh-CN" w:bidi="ar"/>
        </w:rPr>
        <w:t>挤压</w:t>
      </w:r>
      <w:r>
        <w:rPr>
          <w:rFonts w:hint="default" w:ascii="Times New Roman" w:hAnsi="Times New Roman" w:eastAsia="宋体" w:cs="Times New Roman"/>
          <w:color w:val="auto"/>
          <w:sz w:val="24"/>
          <w:szCs w:val="28"/>
          <w:highlight w:val="none"/>
          <w:lang w:val="en-US" w:eastAsia="zh-CN" w:bidi="ar"/>
        </w:rPr>
        <w:t>造粒废气收集后经1套</w:t>
      </w:r>
      <w:r>
        <w:rPr>
          <w:rFonts w:hint="eastAsia" w:ascii="Times New Roman" w:hAnsi="Times New Roman" w:eastAsia="宋体" w:cs="Times New Roman"/>
          <w:color w:val="auto"/>
          <w:sz w:val="24"/>
          <w:szCs w:val="28"/>
          <w:highlight w:val="none"/>
          <w:lang w:val="en-US" w:eastAsia="zh-CN" w:bidi="ar"/>
        </w:rPr>
        <w:t>“</w:t>
      </w:r>
      <w:r>
        <w:rPr>
          <w:rFonts w:hint="default" w:ascii="Times New Roman" w:hAnsi="Times New Roman" w:cs="Times New Roman"/>
          <w:color w:val="auto"/>
          <w:sz w:val="24"/>
          <w:szCs w:val="28"/>
          <w:highlight w:val="none"/>
          <w:lang w:val="en-US" w:eastAsia="zh-CN" w:bidi="ar"/>
        </w:rPr>
        <w:t>脉冲布袋除尘器</w:t>
      </w:r>
      <w:r>
        <w:rPr>
          <w:rFonts w:hint="default" w:ascii="Times New Roman" w:hAnsi="Times New Roman" w:eastAsia="宋体" w:cs="Times New Roman"/>
          <w:color w:val="auto"/>
          <w:sz w:val="24"/>
          <w:szCs w:val="28"/>
          <w:highlight w:val="none"/>
          <w:lang w:val="en-US" w:eastAsia="zh-CN" w:bidi="ar"/>
        </w:rPr>
        <w:t>”</w:t>
      </w:r>
      <w:r>
        <w:rPr>
          <w:rFonts w:hint="eastAsia" w:ascii="Times New Roman" w:hAnsi="Times New Roman" w:eastAsia="宋体" w:cs="Times New Roman"/>
          <w:color w:val="auto"/>
          <w:sz w:val="24"/>
          <w:szCs w:val="28"/>
          <w:highlight w:val="none"/>
          <w:lang w:val="en-US" w:eastAsia="zh-CN" w:bidi="ar"/>
        </w:rPr>
        <w:t>预</w:t>
      </w:r>
      <w:r>
        <w:rPr>
          <w:rFonts w:hint="default" w:ascii="Times New Roman" w:hAnsi="Times New Roman" w:eastAsia="宋体" w:cs="Times New Roman"/>
          <w:color w:val="auto"/>
          <w:sz w:val="24"/>
          <w:szCs w:val="28"/>
          <w:highlight w:val="none"/>
          <w:lang w:val="en-US" w:eastAsia="zh-CN" w:bidi="ar"/>
        </w:rPr>
        <w:t>处理</w:t>
      </w:r>
      <w:r>
        <w:rPr>
          <w:rFonts w:hint="eastAsia" w:ascii="Times New Roman" w:hAnsi="Times New Roman" w:eastAsia="宋体" w:cs="Times New Roman"/>
          <w:color w:val="auto"/>
          <w:sz w:val="24"/>
          <w:szCs w:val="28"/>
          <w:highlight w:val="none"/>
          <w:lang w:val="en-US" w:eastAsia="zh-CN" w:bidi="ar"/>
        </w:rPr>
        <w:t>后与其他工艺废气一起进入水洗塔</w:t>
      </w:r>
      <w:r>
        <w:rPr>
          <w:rFonts w:hint="default" w:ascii="Times New Roman" w:hAnsi="Times New Roman" w:eastAsia="宋体" w:cs="Times New Roman"/>
          <w:color w:val="auto"/>
          <w:sz w:val="24"/>
          <w:szCs w:val="28"/>
          <w:highlight w:val="none"/>
          <w:lang w:val="en-US" w:eastAsia="zh-CN" w:bidi="ar"/>
        </w:rPr>
        <w:t>处理</w:t>
      </w:r>
      <w:r>
        <w:rPr>
          <w:rFonts w:hint="eastAsia" w:ascii="Times New Roman" w:hAnsi="Times New Roman" w:eastAsia="宋体" w:cs="Times New Roman"/>
          <w:color w:val="auto"/>
          <w:sz w:val="24"/>
          <w:szCs w:val="28"/>
          <w:highlight w:val="none"/>
          <w:lang w:val="en-US" w:eastAsia="zh-CN" w:bidi="ar"/>
        </w:rPr>
        <w:t>；实际</w:t>
      </w:r>
      <w:r>
        <w:rPr>
          <w:rFonts w:hint="default" w:ascii="Times New Roman" w:hAnsi="Times New Roman" w:cs="Times New Roman"/>
          <w:color w:val="auto"/>
          <w:sz w:val="24"/>
          <w:szCs w:val="28"/>
          <w:highlight w:val="none"/>
          <w:lang w:val="en-US" w:eastAsia="zh-CN" w:bidi="ar"/>
        </w:rPr>
        <w:t>挤压</w:t>
      </w:r>
      <w:r>
        <w:rPr>
          <w:rFonts w:hint="default" w:ascii="Times New Roman" w:hAnsi="Times New Roman" w:eastAsia="宋体" w:cs="Times New Roman"/>
          <w:color w:val="auto"/>
          <w:sz w:val="24"/>
          <w:szCs w:val="28"/>
          <w:highlight w:val="none"/>
          <w:lang w:val="en-US" w:eastAsia="zh-CN" w:bidi="ar"/>
        </w:rPr>
        <w:t>造粒废气收集后经1套</w:t>
      </w:r>
      <w:r>
        <w:rPr>
          <w:rFonts w:hint="eastAsia" w:ascii="Times New Roman" w:hAnsi="Times New Roman" w:eastAsia="宋体" w:cs="Times New Roman"/>
          <w:color w:val="auto"/>
          <w:sz w:val="24"/>
          <w:szCs w:val="28"/>
          <w:highlight w:val="none"/>
          <w:lang w:val="en-US" w:eastAsia="zh-CN" w:bidi="ar"/>
        </w:rPr>
        <w:t>“</w:t>
      </w:r>
      <w:r>
        <w:rPr>
          <w:rFonts w:hint="default" w:ascii="Times New Roman" w:hAnsi="Times New Roman" w:cs="Times New Roman"/>
          <w:color w:val="auto"/>
          <w:sz w:val="24"/>
          <w:szCs w:val="28"/>
          <w:highlight w:val="none"/>
          <w:lang w:val="en-US" w:eastAsia="zh-CN" w:bidi="ar"/>
        </w:rPr>
        <w:t>脉冲布袋除尘器</w:t>
      </w:r>
      <w:r>
        <w:rPr>
          <w:rFonts w:hint="eastAsia" w:ascii="Times New Roman" w:hAnsi="Times New Roman" w:eastAsia="宋体" w:cs="Times New Roman"/>
          <w:color w:val="auto"/>
          <w:sz w:val="24"/>
          <w:szCs w:val="28"/>
          <w:highlight w:val="none"/>
          <w:lang w:val="en-US" w:eastAsia="zh-CN" w:bidi="ar"/>
        </w:rPr>
        <w:t>+重力沉降室</w:t>
      </w:r>
      <w:r>
        <w:rPr>
          <w:rFonts w:hint="default" w:ascii="Times New Roman" w:hAnsi="Times New Roman" w:eastAsia="宋体" w:cs="Times New Roman"/>
          <w:color w:val="auto"/>
          <w:sz w:val="24"/>
          <w:szCs w:val="28"/>
          <w:highlight w:val="none"/>
          <w:lang w:val="en-US" w:eastAsia="zh-CN" w:bidi="ar"/>
        </w:rPr>
        <w:t>”</w:t>
      </w:r>
      <w:r>
        <w:rPr>
          <w:rFonts w:hint="eastAsia" w:ascii="Times New Roman" w:hAnsi="Times New Roman" w:eastAsia="宋体" w:cs="Times New Roman"/>
          <w:color w:val="auto"/>
          <w:sz w:val="24"/>
          <w:szCs w:val="28"/>
          <w:highlight w:val="none"/>
          <w:lang w:val="en-US" w:eastAsia="zh-CN" w:bidi="ar"/>
        </w:rPr>
        <w:t>预</w:t>
      </w:r>
      <w:r>
        <w:rPr>
          <w:rFonts w:hint="default" w:ascii="Times New Roman" w:hAnsi="Times New Roman" w:eastAsia="宋体" w:cs="Times New Roman"/>
          <w:color w:val="auto"/>
          <w:sz w:val="24"/>
          <w:szCs w:val="28"/>
          <w:highlight w:val="none"/>
          <w:lang w:val="en-US" w:eastAsia="zh-CN" w:bidi="ar"/>
        </w:rPr>
        <w:t>处理</w:t>
      </w:r>
      <w:r>
        <w:rPr>
          <w:rFonts w:hint="eastAsia" w:ascii="Times New Roman" w:hAnsi="Times New Roman" w:eastAsia="宋体" w:cs="Times New Roman"/>
          <w:color w:val="auto"/>
          <w:sz w:val="24"/>
          <w:szCs w:val="28"/>
          <w:highlight w:val="none"/>
          <w:lang w:val="en-US" w:eastAsia="zh-CN" w:bidi="ar"/>
        </w:rPr>
        <w:t>后与其他工艺废气一起进入水洗塔</w:t>
      </w:r>
      <w:r>
        <w:rPr>
          <w:rFonts w:hint="default" w:ascii="Times New Roman" w:hAnsi="Times New Roman" w:eastAsia="宋体" w:cs="Times New Roman"/>
          <w:color w:val="auto"/>
          <w:sz w:val="24"/>
          <w:szCs w:val="28"/>
          <w:highlight w:val="none"/>
          <w:lang w:val="en-US" w:eastAsia="zh-CN" w:bidi="ar"/>
        </w:rPr>
        <w:t>处理</w:t>
      </w:r>
      <w:r>
        <w:rPr>
          <w:rFonts w:hint="eastAsia" w:ascii="Times New Roman" w:hAnsi="Times New Roman" w:eastAsia="宋体" w:cs="Times New Roman"/>
          <w:color w:val="auto"/>
          <w:sz w:val="24"/>
          <w:szCs w:val="28"/>
          <w:highlight w:val="none"/>
          <w:lang w:val="en-US" w:eastAsia="zh-CN" w:bidi="ar"/>
        </w:rPr>
        <w:t>。</w:t>
      </w:r>
    </w:p>
    <w:p w14:paraId="7A46D0F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sz w:val="24"/>
          <w:szCs w:val="32"/>
          <w:lang w:val="en-US" w:eastAsia="zh-CN"/>
        </w:rPr>
      </w:pPr>
      <w:r>
        <w:rPr>
          <w:rFonts w:hint="eastAsia" w:ascii="Times New Roman" w:hAnsi="Times New Roman" w:cs="Times New Roman"/>
          <w:sz w:val="24"/>
          <w:szCs w:val="32"/>
          <w:lang w:val="en-US" w:eastAsia="zh-CN"/>
        </w:rPr>
        <w:t>（4）环评设计</w:t>
      </w:r>
      <w:r>
        <w:rPr>
          <w:rFonts w:hint="default" w:ascii="Times New Roman" w:hAnsi="Times New Roman" w:eastAsia="宋体" w:cs="Times New Roman"/>
          <w:color w:val="auto"/>
          <w:sz w:val="24"/>
          <w:szCs w:val="28"/>
          <w:highlight w:val="none"/>
          <w:lang w:val="en-US" w:eastAsia="zh-CN" w:bidi="ar"/>
        </w:rPr>
        <w:t>筛分、包膜、包装过程废气收集后经1套“旋风除尘+重力沉降室”</w:t>
      </w:r>
      <w:r>
        <w:rPr>
          <w:rFonts w:hint="eastAsia" w:ascii="Times New Roman" w:hAnsi="Times New Roman" w:eastAsia="宋体" w:cs="Times New Roman"/>
          <w:color w:val="auto"/>
          <w:sz w:val="24"/>
          <w:szCs w:val="28"/>
          <w:highlight w:val="none"/>
          <w:lang w:val="en-US" w:eastAsia="zh-CN" w:bidi="ar"/>
        </w:rPr>
        <w:t>预</w:t>
      </w:r>
      <w:r>
        <w:rPr>
          <w:rFonts w:hint="default" w:ascii="Times New Roman" w:hAnsi="Times New Roman" w:eastAsia="宋体" w:cs="Times New Roman"/>
          <w:color w:val="auto"/>
          <w:sz w:val="24"/>
          <w:szCs w:val="28"/>
          <w:highlight w:val="none"/>
          <w:lang w:val="en-US" w:eastAsia="zh-CN" w:bidi="ar"/>
        </w:rPr>
        <w:t>处理，</w:t>
      </w:r>
      <w:r>
        <w:rPr>
          <w:rFonts w:hint="eastAsia" w:ascii="Times New Roman" w:hAnsi="Times New Roman" w:eastAsia="宋体" w:cs="Times New Roman"/>
          <w:color w:val="auto"/>
          <w:sz w:val="24"/>
          <w:szCs w:val="28"/>
          <w:highlight w:val="none"/>
          <w:lang w:val="en-US" w:eastAsia="zh-CN" w:bidi="ar"/>
        </w:rPr>
        <w:t>冷却废气</w:t>
      </w:r>
      <w:r>
        <w:rPr>
          <w:rFonts w:hint="default" w:ascii="Times New Roman" w:hAnsi="Times New Roman" w:eastAsia="宋体" w:cs="Times New Roman"/>
          <w:color w:val="auto"/>
          <w:sz w:val="24"/>
          <w:szCs w:val="28"/>
          <w:highlight w:val="none"/>
          <w:lang w:val="en-US" w:eastAsia="zh-CN" w:bidi="ar"/>
        </w:rPr>
        <w:t>收集后经1套“旋风除尘+重力沉降室”</w:t>
      </w:r>
      <w:r>
        <w:rPr>
          <w:rFonts w:hint="eastAsia" w:ascii="Times New Roman" w:hAnsi="Times New Roman" w:eastAsia="宋体" w:cs="Times New Roman"/>
          <w:color w:val="auto"/>
          <w:sz w:val="24"/>
          <w:szCs w:val="28"/>
          <w:highlight w:val="none"/>
          <w:lang w:val="en-US" w:eastAsia="zh-CN" w:bidi="ar"/>
        </w:rPr>
        <w:t>预</w:t>
      </w:r>
      <w:r>
        <w:rPr>
          <w:rFonts w:hint="default" w:ascii="Times New Roman" w:hAnsi="Times New Roman" w:eastAsia="宋体" w:cs="Times New Roman"/>
          <w:color w:val="auto"/>
          <w:sz w:val="24"/>
          <w:szCs w:val="28"/>
          <w:highlight w:val="none"/>
          <w:lang w:val="en-US" w:eastAsia="zh-CN" w:bidi="ar"/>
        </w:rPr>
        <w:t>处理，</w:t>
      </w:r>
      <w:r>
        <w:rPr>
          <w:rFonts w:hint="eastAsia" w:ascii="Times New Roman" w:hAnsi="Times New Roman" w:eastAsia="宋体" w:cs="Times New Roman"/>
          <w:color w:val="auto"/>
          <w:sz w:val="24"/>
          <w:szCs w:val="28"/>
          <w:highlight w:val="none"/>
          <w:lang w:val="en-US" w:eastAsia="zh-CN" w:bidi="ar"/>
        </w:rPr>
        <w:t>废气经预处理后与其他工艺废气一起进入水洗塔</w:t>
      </w:r>
      <w:r>
        <w:rPr>
          <w:rFonts w:hint="default" w:ascii="Times New Roman" w:hAnsi="Times New Roman" w:eastAsia="宋体" w:cs="Times New Roman"/>
          <w:color w:val="auto"/>
          <w:sz w:val="24"/>
          <w:szCs w:val="28"/>
          <w:highlight w:val="none"/>
          <w:lang w:val="en-US" w:eastAsia="zh-CN" w:bidi="ar"/>
        </w:rPr>
        <w:t>处理</w:t>
      </w:r>
      <w:r>
        <w:rPr>
          <w:rFonts w:hint="eastAsia" w:ascii="Times New Roman" w:hAnsi="Times New Roman" w:eastAsia="宋体" w:cs="Times New Roman"/>
          <w:color w:val="auto"/>
          <w:sz w:val="24"/>
          <w:szCs w:val="28"/>
          <w:highlight w:val="none"/>
          <w:lang w:val="en-US" w:eastAsia="zh-CN" w:bidi="ar"/>
        </w:rPr>
        <w:t>；实际冷却、</w:t>
      </w:r>
      <w:r>
        <w:rPr>
          <w:rFonts w:hint="default" w:ascii="Times New Roman" w:hAnsi="Times New Roman" w:eastAsia="宋体" w:cs="Times New Roman"/>
          <w:color w:val="auto"/>
          <w:sz w:val="24"/>
          <w:szCs w:val="28"/>
          <w:highlight w:val="none"/>
          <w:lang w:val="en-US" w:eastAsia="zh-CN" w:bidi="ar"/>
        </w:rPr>
        <w:t>筛分、包膜、包装过程废气收集后</w:t>
      </w:r>
      <w:r>
        <w:rPr>
          <w:rFonts w:hint="eastAsia" w:ascii="Times New Roman" w:hAnsi="Times New Roman" w:eastAsia="宋体" w:cs="Times New Roman"/>
          <w:color w:val="auto"/>
          <w:sz w:val="24"/>
          <w:szCs w:val="28"/>
          <w:highlight w:val="none"/>
          <w:lang w:val="en-US" w:eastAsia="zh-CN" w:bidi="ar"/>
        </w:rPr>
        <w:t>一起</w:t>
      </w:r>
      <w:r>
        <w:rPr>
          <w:rFonts w:hint="default" w:ascii="Times New Roman" w:hAnsi="Times New Roman" w:eastAsia="宋体" w:cs="Times New Roman"/>
          <w:color w:val="auto"/>
          <w:sz w:val="24"/>
          <w:szCs w:val="28"/>
          <w:highlight w:val="none"/>
          <w:lang w:val="en-US" w:eastAsia="zh-CN" w:bidi="ar"/>
        </w:rPr>
        <w:t>经1套“旋风除尘+重力沉降室”</w:t>
      </w:r>
      <w:r>
        <w:rPr>
          <w:rFonts w:hint="eastAsia" w:ascii="Times New Roman" w:hAnsi="Times New Roman" w:eastAsia="宋体" w:cs="Times New Roman"/>
          <w:color w:val="auto"/>
          <w:sz w:val="24"/>
          <w:szCs w:val="28"/>
          <w:highlight w:val="none"/>
          <w:lang w:val="en-US" w:eastAsia="zh-CN" w:bidi="ar"/>
        </w:rPr>
        <w:t>预</w:t>
      </w:r>
      <w:r>
        <w:rPr>
          <w:rFonts w:hint="default" w:ascii="Times New Roman" w:hAnsi="Times New Roman" w:eastAsia="宋体" w:cs="Times New Roman"/>
          <w:color w:val="auto"/>
          <w:sz w:val="24"/>
          <w:szCs w:val="28"/>
          <w:highlight w:val="none"/>
          <w:lang w:val="en-US" w:eastAsia="zh-CN" w:bidi="ar"/>
        </w:rPr>
        <w:t>处理</w:t>
      </w:r>
      <w:r>
        <w:rPr>
          <w:rFonts w:hint="eastAsia" w:ascii="Times New Roman" w:hAnsi="Times New Roman" w:eastAsia="宋体" w:cs="Times New Roman"/>
          <w:color w:val="auto"/>
          <w:sz w:val="24"/>
          <w:szCs w:val="28"/>
          <w:highlight w:val="none"/>
          <w:lang w:val="en-US" w:eastAsia="zh-CN" w:bidi="ar"/>
        </w:rPr>
        <w:t>后与其他工艺废气一起进入水洗塔</w:t>
      </w:r>
      <w:r>
        <w:rPr>
          <w:rFonts w:hint="default" w:ascii="Times New Roman" w:hAnsi="Times New Roman" w:eastAsia="宋体" w:cs="Times New Roman"/>
          <w:color w:val="auto"/>
          <w:sz w:val="24"/>
          <w:szCs w:val="28"/>
          <w:highlight w:val="none"/>
          <w:lang w:val="en-US" w:eastAsia="zh-CN" w:bidi="ar"/>
        </w:rPr>
        <w:t>处理</w:t>
      </w:r>
      <w:r>
        <w:rPr>
          <w:rFonts w:hint="eastAsia" w:ascii="Times New Roman" w:hAnsi="Times New Roman" w:eastAsia="宋体" w:cs="Times New Roman"/>
          <w:color w:val="auto"/>
          <w:sz w:val="24"/>
          <w:szCs w:val="28"/>
          <w:highlight w:val="none"/>
          <w:lang w:val="en-US" w:eastAsia="zh-CN" w:bidi="ar"/>
        </w:rPr>
        <w:t>。</w:t>
      </w:r>
    </w:p>
    <w:p w14:paraId="543BF33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cs="Times New Roman"/>
          <w:sz w:val="24"/>
          <w:szCs w:val="32"/>
          <w:lang w:val="en-US" w:eastAsia="zh-CN"/>
        </w:rPr>
        <w:sectPr>
          <w:footerReference r:id="rId3" w:type="default"/>
          <w:pgSz w:w="11906" w:h="16838"/>
          <w:pgMar w:top="1531" w:right="1440" w:bottom="1531" w:left="1531" w:header="851" w:footer="992" w:gutter="0"/>
          <w:pgNumType w:fmt="decimal" w:start="1"/>
          <w:cols w:space="425" w:num="1"/>
          <w:docGrid w:type="lines" w:linePitch="312" w:charSpace="0"/>
        </w:sectPr>
      </w:pPr>
      <w:r>
        <w:rPr>
          <w:rFonts w:hint="eastAsia" w:ascii="Times New Roman" w:hAnsi="Times New Roman" w:cs="Times New Roman"/>
          <w:sz w:val="24"/>
          <w:szCs w:val="32"/>
          <w:lang w:val="en-US" w:eastAsia="zh-CN"/>
        </w:rPr>
        <w:t>通过对照《污染影响类建设项目重大变动清单（试行）》（环办环评函</w:t>
      </w:r>
      <w:r>
        <w:rPr>
          <w:rFonts w:hint="default" w:ascii="Times New Roman" w:hAnsi="Times New Roman" w:cs="Times New Roman"/>
          <w:sz w:val="24"/>
          <w:szCs w:val="32"/>
          <w:lang w:val="en-US" w:eastAsia="zh-CN"/>
        </w:rPr>
        <w:t>[202</w:t>
      </w:r>
      <w:r>
        <w:rPr>
          <w:rFonts w:hint="eastAsia" w:ascii="Times New Roman" w:hAnsi="Times New Roman" w:cs="Times New Roman"/>
          <w:sz w:val="24"/>
          <w:szCs w:val="32"/>
          <w:lang w:val="en-US" w:eastAsia="zh-CN"/>
        </w:rPr>
        <w:t>0</w:t>
      </w:r>
      <w:r>
        <w:rPr>
          <w:rFonts w:hint="default" w:ascii="Times New Roman" w:hAnsi="Times New Roman" w:cs="Times New Roman"/>
          <w:sz w:val="24"/>
          <w:szCs w:val="32"/>
          <w:lang w:val="en-US" w:eastAsia="zh-CN"/>
        </w:rPr>
        <w:t>]</w:t>
      </w:r>
      <w:r>
        <w:rPr>
          <w:rFonts w:hint="eastAsia" w:ascii="Times New Roman" w:hAnsi="Times New Roman" w:cs="Times New Roman"/>
          <w:sz w:val="24"/>
          <w:szCs w:val="32"/>
          <w:lang w:val="en-US" w:eastAsia="zh-CN"/>
        </w:rPr>
        <w:t>688</w:t>
      </w:r>
      <w:r>
        <w:rPr>
          <w:rFonts w:hint="default" w:ascii="Times New Roman" w:hAnsi="Times New Roman" w:cs="Times New Roman"/>
          <w:sz w:val="24"/>
          <w:szCs w:val="32"/>
          <w:lang w:val="en-US" w:eastAsia="zh-CN"/>
        </w:rPr>
        <w:t>号</w:t>
      </w:r>
      <w:r>
        <w:rPr>
          <w:rFonts w:hint="eastAsia" w:ascii="Times New Roman" w:hAnsi="Times New Roman" w:cs="Times New Roman"/>
          <w:sz w:val="24"/>
          <w:szCs w:val="32"/>
          <w:lang w:val="en-US" w:eastAsia="zh-CN"/>
        </w:rPr>
        <w:t>），以上辅料及排气筒数量变动</w:t>
      </w:r>
      <w:r>
        <w:rPr>
          <w:rFonts w:hint="default" w:ascii="Times New Roman" w:hAnsi="Times New Roman" w:cs="Times New Roman"/>
          <w:sz w:val="24"/>
          <w:szCs w:val="32"/>
          <w:lang w:val="en-US" w:eastAsia="zh-CN"/>
        </w:rPr>
        <w:t>不属于重大变动</w:t>
      </w:r>
      <w:r>
        <w:rPr>
          <w:rFonts w:hint="eastAsia" w:ascii="Times New Roman" w:hAnsi="Times New Roman" w:cs="Times New Roman"/>
          <w:sz w:val="24"/>
          <w:szCs w:val="32"/>
          <w:lang w:val="en-US" w:eastAsia="zh-CN"/>
        </w:rPr>
        <w:t>，对照分析祥见下表：</w:t>
      </w:r>
    </w:p>
    <w:p w14:paraId="1B3CFC5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bCs/>
          <w:sz w:val="24"/>
          <w:szCs w:val="32"/>
          <w:lang w:val="en-US" w:eastAsia="zh-CN"/>
        </w:rPr>
      </w:pPr>
      <w:r>
        <w:rPr>
          <w:rFonts w:hint="eastAsia" w:ascii="Times New Roman" w:hAnsi="Times New Roman" w:cs="Times New Roman"/>
          <w:b/>
          <w:bCs/>
          <w:sz w:val="24"/>
          <w:szCs w:val="32"/>
          <w:lang w:val="en-US" w:eastAsia="zh-CN"/>
        </w:rPr>
        <w:t xml:space="preserve">表1  </w:t>
      </w:r>
      <w:r>
        <w:rPr>
          <w:rFonts w:hint="default" w:ascii="Times New Roman" w:hAnsi="Times New Roman" w:cs="Times New Roman"/>
          <w:b/>
          <w:bCs/>
          <w:sz w:val="24"/>
          <w:szCs w:val="32"/>
          <w:lang w:val="en-US" w:eastAsia="zh-CN"/>
        </w:rPr>
        <w:t>项目建设内容变动与《清单》对比情况</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5"/>
        <w:gridCol w:w="5419"/>
        <w:gridCol w:w="2571"/>
        <w:gridCol w:w="2825"/>
        <w:gridCol w:w="1143"/>
        <w:gridCol w:w="1139"/>
      </w:tblGrid>
      <w:tr w14:paraId="6560DBEF">
        <w:trPr>
          <w:trHeight w:val="340" w:hRule="atLeast"/>
          <w:jc w:val="center"/>
        </w:trPr>
        <w:tc>
          <w:tcPr>
            <w:tcW w:w="203" w:type="pct"/>
            <w:noWrap w:val="0"/>
            <w:vAlign w:val="center"/>
          </w:tcPr>
          <w:p w14:paraId="22ADC7B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bCs/>
                <w:color w:val="auto"/>
                <w:sz w:val="21"/>
                <w:szCs w:val="21"/>
                <w:highlight w:val="none"/>
                <w:lang w:eastAsia="zh-CN"/>
              </w:rPr>
            </w:pPr>
            <w:r>
              <w:rPr>
                <w:rFonts w:hint="default" w:ascii="Times New Roman" w:hAnsi="Times New Roman" w:cs="Times New Roman"/>
                <w:b/>
                <w:bCs/>
                <w:color w:val="auto"/>
                <w:sz w:val="21"/>
                <w:szCs w:val="21"/>
                <w:highlight w:val="none"/>
                <w:lang w:eastAsia="zh-CN"/>
              </w:rPr>
              <w:t>序号</w:t>
            </w:r>
          </w:p>
        </w:tc>
        <w:tc>
          <w:tcPr>
            <w:tcW w:w="1984" w:type="pct"/>
            <w:noWrap w:val="0"/>
            <w:vAlign w:val="center"/>
          </w:tcPr>
          <w:p w14:paraId="08B5D25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bCs/>
                <w:color w:val="auto"/>
                <w:sz w:val="21"/>
                <w:szCs w:val="21"/>
                <w:highlight w:val="none"/>
                <w:lang w:eastAsia="zh-CN"/>
              </w:rPr>
            </w:pPr>
            <w:r>
              <w:rPr>
                <w:rFonts w:hint="default" w:ascii="Times New Roman" w:hAnsi="Times New Roman" w:cs="Times New Roman"/>
                <w:b/>
                <w:bCs/>
                <w:color w:val="auto"/>
                <w:sz w:val="21"/>
                <w:szCs w:val="21"/>
                <w:highlight w:val="none"/>
                <w:lang w:eastAsia="zh-CN"/>
              </w:rPr>
              <w:t>《清单》中属于重大变更的情形</w:t>
            </w:r>
          </w:p>
        </w:tc>
        <w:tc>
          <w:tcPr>
            <w:tcW w:w="941" w:type="pct"/>
            <w:noWrap w:val="0"/>
            <w:vAlign w:val="center"/>
          </w:tcPr>
          <w:p w14:paraId="46D24C2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cs="Times New Roman"/>
                <w:b/>
                <w:bCs/>
                <w:color w:val="auto"/>
                <w:sz w:val="21"/>
                <w:szCs w:val="21"/>
                <w:highlight w:val="none"/>
                <w:lang w:eastAsia="zh-CN"/>
              </w:rPr>
            </w:pPr>
            <w:r>
              <w:rPr>
                <w:rFonts w:hint="eastAsia" w:ascii="Times New Roman" w:hAnsi="Times New Roman" w:cs="Times New Roman"/>
                <w:b/>
                <w:bCs/>
                <w:color w:val="auto"/>
                <w:sz w:val="21"/>
                <w:szCs w:val="21"/>
                <w:highlight w:val="none"/>
                <w:lang w:eastAsia="zh-CN"/>
              </w:rPr>
              <w:t>环评内容和要求</w:t>
            </w:r>
          </w:p>
        </w:tc>
        <w:tc>
          <w:tcPr>
            <w:tcW w:w="1034" w:type="pct"/>
            <w:noWrap w:val="0"/>
            <w:vAlign w:val="center"/>
          </w:tcPr>
          <w:p w14:paraId="0C2752A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cs="Times New Roman"/>
                <w:b/>
                <w:bCs/>
                <w:color w:val="auto"/>
                <w:sz w:val="21"/>
                <w:szCs w:val="21"/>
                <w:highlight w:val="none"/>
                <w:lang w:eastAsia="zh-CN"/>
              </w:rPr>
            </w:pPr>
            <w:r>
              <w:rPr>
                <w:rFonts w:hint="eastAsia" w:ascii="Times New Roman" w:hAnsi="Times New Roman" w:cs="Times New Roman"/>
                <w:b/>
                <w:bCs/>
                <w:color w:val="auto"/>
                <w:sz w:val="21"/>
                <w:szCs w:val="21"/>
                <w:highlight w:val="none"/>
                <w:lang w:eastAsia="zh-CN"/>
              </w:rPr>
              <w:t>实际建设内容</w:t>
            </w:r>
          </w:p>
        </w:tc>
        <w:tc>
          <w:tcPr>
            <w:tcW w:w="418" w:type="pct"/>
            <w:noWrap w:val="0"/>
            <w:vAlign w:val="center"/>
          </w:tcPr>
          <w:p w14:paraId="2A6B26E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cs="Times New Roman"/>
                <w:b/>
                <w:bCs/>
                <w:color w:val="auto"/>
                <w:sz w:val="21"/>
                <w:szCs w:val="21"/>
                <w:highlight w:val="none"/>
                <w:lang w:eastAsia="zh-CN"/>
              </w:rPr>
            </w:pPr>
            <w:r>
              <w:rPr>
                <w:rFonts w:hint="eastAsia" w:ascii="Times New Roman" w:hAnsi="Times New Roman" w:cs="Times New Roman"/>
                <w:b/>
                <w:bCs/>
                <w:color w:val="auto"/>
                <w:sz w:val="21"/>
                <w:szCs w:val="21"/>
                <w:highlight w:val="none"/>
                <w:lang w:eastAsia="zh-CN"/>
              </w:rPr>
              <w:t>变动原因及影响</w:t>
            </w:r>
          </w:p>
        </w:tc>
        <w:tc>
          <w:tcPr>
            <w:tcW w:w="417" w:type="pct"/>
            <w:noWrap w:val="0"/>
            <w:vAlign w:val="center"/>
          </w:tcPr>
          <w:p w14:paraId="4436839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b/>
                <w:bCs/>
                <w:color w:val="auto"/>
                <w:sz w:val="21"/>
                <w:szCs w:val="21"/>
                <w:highlight w:val="none"/>
                <w:lang w:eastAsia="zh-CN"/>
              </w:rPr>
            </w:pPr>
            <w:r>
              <w:rPr>
                <w:rFonts w:hint="eastAsia" w:ascii="Times New Roman" w:hAnsi="Times New Roman" w:cs="Times New Roman"/>
                <w:b/>
                <w:bCs/>
                <w:color w:val="auto"/>
                <w:sz w:val="21"/>
                <w:szCs w:val="21"/>
                <w:highlight w:val="none"/>
                <w:lang w:eastAsia="zh-CN"/>
              </w:rPr>
              <w:t>是否属于重大变动</w:t>
            </w:r>
          </w:p>
        </w:tc>
      </w:tr>
      <w:tr w14:paraId="4AC2F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3" w:type="pct"/>
            <w:noWrap w:val="0"/>
            <w:vAlign w:val="center"/>
          </w:tcPr>
          <w:p w14:paraId="55BC028E">
            <w:pPr>
              <w:pStyle w:val="13"/>
              <w:keepNext w:val="0"/>
              <w:keepLines w:val="0"/>
              <w:pageBreakBefore w:val="0"/>
              <w:widowControl w:val="0"/>
              <w:tabs>
                <w:tab w:val="right" w:leader="dot" w:pos="9457"/>
              </w:tabs>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1</w:t>
            </w:r>
          </w:p>
        </w:tc>
        <w:tc>
          <w:tcPr>
            <w:tcW w:w="1984" w:type="pct"/>
            <w:noWrap w:val="0"/>
            <w:vAlign w:val="center"/>
          </w:tcPr>
          <w:p w14:paraId="4C0E997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建设项目开发、使用功能发生变化的</w:t>
            </w:r>
          </w:p>
        </w:tc>
        <w:tc>
          <w:tcPr>
            <w:tcW w:w="1976" w:type="pct"/>
            <w:gridSpan w:val="2"/>
            <w:noWrap w:val="0"/>
            <w:vAlign w:val="center"/>
          </w:tcPr>
          <w:p w14:paraId="030FAAE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项目开发、使用功能未发生变化</w:t>
            </w:r>
          </w:p>
        </w:tc>
        <w:tc>
          <w:tcPr>
            <w:tcW w:w="418" w:type="pct"/>
            <w:noWrap w:val="0"/>
            <w:vAlign w:val="center"/>
          </w:tcPr>
          <w:p w14:paraId="036FDFE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color w:val="auto"/>
                <w:kern w:val="2"/>
                <w:sz w:val="21"/>
                <w:szCs w:val="21"/>
                <w:highlight w:val="none"/>
                <w:lang w:val="en-US" w:eastAsia="zh-CN" w:bidi="ar-SA"/>
              </w:rPr>
            </w:pPr>
            <w:r>
              <w:rPr>
                <w:rFonts w:hint="eastAsia" w:ascii="Times New Roman" w:hAnsi="Times New Roman" w:cs="Times New Roman"/>
                <w:color w:val="auto"/>
                <w:kern w:val="2"/>
                <w:sz w:val="21"/>
                <w:szCs w:val="21"/>
                <w:highlight w:val="none"/>
                <w:lang w:val="en-US" w:eastAsia="zh-CN" w:bidi="ar-SA"/>
              </w:rPr>
              <w:t>/</w:t>
            </w:r>
          </w:p>
        </w:tc>
        <w:tc>
          <w:tcPr>
            <w:tcW w:w="417" w:type="pct"/>
            <w:noWrap w:val="0"/>
            <w:vAlign w:val="center"/>
          </w:tcPr>
          <w:p w14:paraId="6114C3D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w:t>
            </w:r>
          </w:p>
        </w:tc>
      </w:tr>
      <w:tr w14:paraId="301A2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3" w:type="pct"/>
            <w:noWrap w:val="0"/>
            <w:vAlign w:val="center"/>
          </w:tcPr>
          <w:p w14:paraId="627023AD">
            <w:pPr>
              <w:pStyle w:val="13"/>
              <w:keepNext w:val="0"/>
              <w:keepLines w:val="0"/>
              <w:pageBreakBefore w:val="0"/>
              <w:widowControl w:val="0"/>
              <w:tabs>
                <w:tab w:val="right" w:leader="dot" w:pos="9457"/>
              </w:tabs>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smallCaps/>
                <w:color w:val="auto"/>
                <w:sz w:val="21"/>
                <w:szCs w:val="21"/>
                <w:highlight w:val="none"/>
                <w:lang w:val="en-US" w:eastAsia="zh-CN"/>
              </w:rPr>
            </w:pPr>
            <w:r>
              <w:rPr>
                <w:rFonts w:hint="default" w:ascii="Times New Roman" w:hAnsi="Times New Roman" w:eastAsia="宋体" w:cs="Times New Roman"/>
                <w:smallCaps/>
                <w:color w:val="auto"/>
                <w:sz w:val="21"/>
                <w:szCs w:val="21"/>
                <w:highlight w:val="none"/>
                <w:lang w:val="en-US" w:eastAsia="zh-CN"/>
              </w:rPr>
              <w:t>2</w:t>
            </w:r>
          </w:p>
        </w:tc>
        <w:tc>
          <w:tcPr>
            <w:tcW w:w="1984" w:type="pct"/>
            <w:noWrap w:val="0"/>
            <w:vAlign w:val="center"/>
          </w:tcPr>
          <w:p w14:paraId="385A5AAB">
            <w:pPr>
              <w:pStyle w:val="13"/>
              <w:keepNext w:val="0"/>
              <w:keepLines w:val="0"/>
              <w:pageBreakBefore w:val="0"/>
              <w:widowControl w:val="0"/>
              <w:tabs>
                <w:tab w:val="right" w:leader="dot" w:pos="9457"/>
              </w:tabs>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smallCaps/>
                <w:color w:val="auto"/>
                <w:sz w:val="21"/>
                <w:szCs w:val="21"/>
                <w:highlight w:val="none"/>
                <w:lang w:val="en-US" w:eastAsia="zh-CN"/>
              </w:rPr>
            </w:pPr>
            <w:r>
              <w:rPr>
                <w:rFonts w:hint="default" w:ascii="Times New Roman" w:hAnsi="Times New Roman" w:eastAsia="宋体" w:cs="Times New Roman"/>
                <w:smallCaps/>
                <w:color w:val="auto"/>
                <w:sz w:val="21"/>
                <w:szCs w:val="21"/>
                <w:highlight w:val="none"/>
                <w:lang w:val="en-US" w:eastAsia="zh-CN"/>
              </w:rPr>
              <w:t>生产、处置或储存能力增大30%及以上的</w:t>
            </w:r>
          </w:p>
        </w:tc>
        <w:tc>
          <w:tcPr>
            <w:tcW w:w="1976" w:type="pct"/>
            <w:gridSpan w:val="2"/>
            <w:noWrap w:val="0"/>
            <w:vAlign w:val="center"/>
          </w:tcPr>
          <w:p w14:paraId="23D2A4CE">
            <w:pPr>
              <w:pStyle w:val="13"/>
              <w:keepNext w:val="0"/>
              <w:keepLines w:val="0"/>
              <w:pageBreakBefore w:val="0"/>
              <w:widowControl w:val="0"/>
              <w:tabs>
                <w:tab w:val="right" w:leader="dot" w:pos="9457"/>
              </w:tabs>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smallCaps/>
                <w:color w:val="auto"/>
                <w:sz w:val="21"/>
                <w:szCs w:val="21"/>
                <w:highlight w:val="none"/>
                <w:lang w:val="en-US" w:eastAsia="zh-CN"/>
              </w:rPr>
            </w:pPr>
            <w:r>
              <w:rPr>
                <w:rFonts w:hint="default" w:ascii="Times New Roman" w:hAnsi="Times New Roman" w:eastAsia="宋体" w:cs="Times New Roman"/>
                <w:smallCaps/>
                <w:color w:val="auto"/>
                <w:sz w:val="21"/>
                <w:szCs w:val="21"/>
                <w:highlight w:val="none"/>
                <w:lang w:val="en-US" w:eastAsia="zh-CN"/>
              </w:rPr>
              <w:t>项目生产、处置或储存能力不变</w:t>
            </w:r>
          </w:p>
        </w:tc>
        <w:tc>
          <w:tcPr>
            <w:tcW w:w="418" w:type="pct"/>
            <w:noWrap w:val="0"/>
            <w:vAlign w:val="center"/>
          </w:tcPr>
          <w:p w14:paraId="022654F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smallCaps/>
                <w:color w:val="auto"/>
                <w:sz w:val="21"/>
                <w:szCs w:val="21"/>
                <w:highlight w:val="none"/>
                <w:lang w:val="en-US" w:eastAsia="zh-CN"/>
              </w:rPr>
            </w:pPr>
            <w:r>
              <w:rPr>
                <w:rFonts w:hint="eastAsia" w:ascii="Times New Roman" w:hAnsi="Times New Roman" w:cs="Times New Roman"/>
                <w:color w:val="auto"/>
                <w:kern w:val="2"/>
                <w:sz w:val="21"/>
                <w:szCs w:val="21"/>
                <w:highlight w:val="none"/>
                <w:lang w:val="en-US" w:eastAsia="zh-CN" w:bidi="ar-SA"/>
              </w:rPr>
              <w:t>/</w:t>
            </w:r>
          </w:p>
        </w:tc>
        <w:tc>
          <w:tcPr>
            <w:tcW w:w="417" w:type="pct"/>
            <w:noWrap w:val="0"/>
            <w:vAlign w:val="center"/>
          </w:tcPr>
          <w:p w14:paraId="2E4656E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w:t>
            </w:r>
          </w:p>
        </w:tc>
      </w:tr>
      <w:tr w14:paraId="0BDCE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3" w:type="pct"/>
            <w:noWrap w:val="0"/>
            <w:vAlign w:val="center"/>
          </w:tcPr>
          <w:p w14:paraId="7AC0A7EF">
            <w:pPr>
              <w:pStyle w:val="13"/>
              <w:keepNext w:val="0"/>
              <w:keepLines w:val="0"/>
              <w:pageBreakBefore w:val="0"/>
              <w:widowControl w:val="0"/>
              <w:tabs>
                <w:tab w:val="right" w:leader="dot" w:pos="9457"/>
              </w:tabs>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smallCaps/>
                <w:color w:val="auto"/>
                <w:sz w:val="21"/>
                <w:szCs w:val="21"/>
                <w:highlight w:val="none"/>
                <w:lang w:val="en-US" w:eastAsia="zh-CN"/>
              </w:rPr>
            </w:pPr>
            <w:r>
              <w:rPr>
                <w:rFonts w:hint="default" w:ascii="Times New Roman" w:hAnsi="Times New Roman" w:eastAsia="宋体" w:cs="Times New Roman"/>
                <w:smallCaps/>
                <w:color w:val="auto"/>
                <w:sz w:val="21"/>
                <w:szCs w:val="21"/>
                <w:highlight w:val="none"/>
                <w:lang w:val="en-US" w:eastAsia="zh-CN"/>
              </w:rPr>
              <w:t>3</w:t>
            </w:r>
          </w:p>
        </w:tc>
        <w:tc>
          <w:tcPr>
            <w:tcW w:w="1984" w:type="pct"/>
            <w:noWrap w:val="0"/>
            <w:vAlign w:val="center"/>
          </w:tcPr>
          <w:p w14:paraId="5CC5A14D">
            <w:pPr>
              <w:pStyle w:val="13"/>
              <w:keepNext w:val="0"/>
              <w:keepLines w:val="0"/>
              <w:pageBreakBefore w:val="0"/>
              <w:widowControl w:val="0"/>
              <w:tabs>
                <w:tab w:val="right" w:leader="dot" w:pos="9457"/>
              </w:tabs>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smallCaps/>
                <w:color w:val="auto"/>
                <w:sz w:val="21"/>
                <w:szCs w:val="21"/>
                <w:highlight w:val="none"/>
                <w:lang w:val="en-US" w:eastAsia="zh-CN"/>
              </w:rPr>
            </w:pPr>
            <w:r>
              <w:rPr>
                <w:rFonts w:hint="default" w:ascii="Times New Roman" w:hAnsi="Times New Roman" w:eastAsia="宋体" w:cs="Times New Roman"/>
                <w:smallCaps/>
                <w:color w:val="auto"/>
                <w:sz w:val="21"/>
                <w:szCs w:val="21"/>
                <w:highlight w:val="none"/>
                <w:lang w:val="en-US" w:eastAsia="zh-CN"/>
              </w:rPr>
              <w:t>生产、处置或储存能力增大，导致废水第一类污染物排放量增加的</w:t>
            </w:r>
          </w:p>
        </w:tc>
        <w:tc>
          <w:tcPr>
            <w:tcW w:w="1976" w:type="pct"/>
            <w:gridSpan w:val="2"/>
            <w:noWrap w:val="0"/>
            <w:vAlign w:val="center"/>
          </w:tcPr>
          <w:p w14:paraId="3DED1A73">
            <w:pPr>
              <w:pStyle w:val="13"/>
              <w:keepNext w:val="0"/>
              <w:keepLines w:val="0"/>
              <w:pageBreakBefore w:val="0"/>
              <w:widowControl w:val="0"/>
              <w:tabs>
                <w:tab w:val="right" w:leader="dot" w:pos="9457"/>
              </w:tabs>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smallCaps/>
                <w:color w:val="auto"/>
                <w:kern w:val="2"/>
                <w:sz w:val="21"/>
                <w:szCs w:val="21"/>
                <w:highlight w:val="none"/>
                <w:lang w:val="en-US" w:eastAsia="zh-CN" w:bidi="ar-SA"/>
              </w:rPr>
            </w:pPr>
            <w:r>
              <w:rPr>
                <w:rFonts w:hint="default" w:ascii="Times New Roman" w:hAnsi="Times New Roman" w:eastAsia="宋体" w:cs="Times New Roman"/>
                <w:smallCaps/>
                <w:color w:val="auto"/>
                <w:sz w:val="21"/>
                <w:szCs w:val="21"/>
                <w:highlight w:val="none"/>
                <w:lang w:val="en-US" w:eastAsia="zh-CN"/>
              </w:rPr>
              <w:t>项目生产、处置或储存能力不变</w:t>
            </w:r>
          </w:p>
        </w:tc>
        <w:tc>
          <w:tcPr>
            <w:tcW w:w="418" w:type="pct"/>
            <w:noWrap w:val="0"/>
            <w:vAlign w:val="center"/>
          </w:tcPr>
          <w:p w14:paraId="017F4B19">
            <w:pPr>
              <w:pStyle w:val="13"/>
              <w:keepNext w:val="0"/>
              <w:keepLines w:val="0"/>
              <w:pageBreakBefore w:val="0"/>
              <w:widowControl w:val="0"/>
              <w:tabs>
                <w:tab w:val="right" w:leader="dot" w:pos="9457"/>
              </w:tabs>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smallCaps/>
                <w:color w:val="auto"/>
                <w:kern w:val="2"/>
                <w:sz w:val="21"/>
                <w:szCs w:val="21"/>
                <w:highlight w:val="none"/>
                <w:lang w:val="en-US" w:eastAsia="zh-CN" w:bidi="ar-SA"/>
              </w:rPr>
            </w:pPr>
            <w:r>
              <w:rPr>
                <w:rFonts w:hint="eastAsia" w:ascii="Times New Roman" w:hAnsi="Times New Roman" w:eastAsia="宋体" w:cs="Times New Roman"/>
                <w:smallCaps/>
                <w:color w:val="auto"/>
                <w:kern w:val="2"/>
                <w:sz w:val="21"/>
                <w:szCs w:val="21"/>
                <w:highlight w:val="none"/>
                <w:lang w:val="en-US" w:eastAsia="zh-CN" w:bidi="ar-SA"/>
              </w:rPr>
              <w:t>/</w:t>
            </w:r>
          </w:p>
        </w:tc>
        <w:tc>
          <w:tcPr>
            <w:tcW w:w="417" w:type="pct"/>
            <w:noWrap w:val="0"/>
            <w:vAlign w:val="center"/>
          </w:tcPr>
          <w:p w14:paraId="2F88D3E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w:t>
            </w:r>
          </w:p>
        </w:tc>
      </w:tr>
      <w:tr w14:paraId="7CC96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3" w:type="pct"/>
            <w:noWrap w:val="0"/>
            <w:vAlign w:val="center"/>
          </w:tcPr>
          <w:p w14:paraId="37C914D0">
            <w:pPr>
              <w:pStyle w:val="13"/>
              <w:keepNext w:val="0"/>
              <w:keepLines w:val="0"/>
              <w:pageBreakBefore w:val="0"/>
              <w:widowControl w:val="0"/>
              <w:tabs>
                <w:tab w:val="right" w:leader="dot" w:pos="9457"/>
              </w:tabs>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smallCaps/>
                <w:color w:val="auto"/>
                <w:sz w:val="21"/>
                <w:szCs w:val="21"/>
                <w:highlight w:val="none"/>
                <w:lang w:val="en-US" w:eastAsia="zh-CN"/>
              </w:rPr>
            </w:pPr>
            <w:r>
              <w:rPr>
                <w:rFonts w:hint="default" w:ascii="Times New Roman" w:hAnsi="Times New Roman" w:eastAsia="宋体" w:cs="Times New Roman"/>
                <w:smallCaps/>
                <w:color w:val="auto"/>
                <w:sz w:val="21"/>
                <w:szCs w:val="21"/>
                <w:highlight w:val="none"/>
                <w:lang w:val="en-US" w:eastAsia="zh-CN"/>
              </w:rPr>
              <w:t>4</w:t>
            </w:r>
          </w:p>
        </w:tc>
        <w:tc>
          <w:tcPr>
            <w:tcW w:w="1984" w:type="pct"/>
            <w:noWrap w:val="0"/>
            <w:vAlign w:val="center"/>
          </w:tcPr>
          <w:p w14:paraId="1D28F214">
            <w:pPr>
              <w:pStyle w:val="13"/>
              <w:keepNext w:val="0"/>
              <w:keepLines w:val="0"/>
              <w:pageBreakBefore w:val="0"/>
              <w:widowControl w:val="0"/>
              <w:tabs>
                <w:tab w:val="right" w:leader="dot" w:pos="9457"/>
              </w:tabs>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smallCaps/>
                <w:color w:val="auto"/>
                <w:sz w:val="21"/>
                <w:szCs w:val="21"/>
                <w:highlight w:val="none"/>
                <w:lang w:val="en-US" w:eastAsia="zh-CN"/>
              </w:rPr>
            </w:pPr>
            <w:r>
              <w:rPr>
                <w:rFonts w:hint="default" w:ascii="Times New Roman" w:hAnsi="Times New Roman" w:eastAsia="宋体" w:cs="Times New Roman"/>
                <w:smallCaps/>
                <w:color w:val="auto"/>
                <w:sz w:val="21"/>
                <w:szCs w:val="21"/>
                <w:highlight w:val="none"/>
                <w:lang w:val="en-US" w:eastAsia="zh-CN"/>
              </w:rPr>
              <w:t>位于环境质量不达标区的建设项目生产、处置或储存能力增大，导致相应污染物排放量增加的（细颗粒物不达标区，相应污染物为二氧化硫、氮氧化物、可吸入颗粒物、挥发性有机物；臭氧不达标区，相应污染物为氮氧化物、挥发性有机物；其他大气、水污染物因子不达标区，相应污染物为超标污染因子）；位于达标区的建设项目生产、处置或储存能力增大，导致污染物排放量增加10%及以上的</w:t>
            </w:r>
          </w:p>
        </w:tc>
        <w:tc>
          <w:tcPr>
            <w:tcW w:w="1976" w:type="pct"/>
            <w:gridSpan w:val="2"/>
            <w:noWrap w:val="0"/>
            <w:vAlign w:val="center"/>
          </w:tcPr>
          <w:p w14:paraId="42D6037E">
            <w:pPr>
              <w:pStyle w:val="13"/>
              <w:keepNext w:val="0"/>
              <w:keepLines w:val="0"/>
              <w:pageBreakBefore w:val="0"/>
              <w:widowControl w:val="0"/>
              <w:tabs>
                <w:tab w:val="right" w:leader="dot" w:pos="9457"/>
              </w:tabs>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smallCaps/>
                <w:color w:val="auto"/>
                <w:sz w:val="21"/>
                <w:szCs w:val="21"/>
                <w:highlight w:val="none"/>
                <w:lang w:val="en-US" w:eastAsia="zh-CN"/>
              </w:rPr>
            </w:pPr>
            <w:r>
              <w:rPr>
                <w:rFonts w:hint="default" w:ascii="Times New Roman" w:hAnsi="Times New Roman" w:eastAsia="宋体" w:cs="Times New Roman"/>
                <w:smallCaps/>
                <w:color w:val="auto"/>
                <w:sz w:val="21"/>
                <w:szCs w:val="21"/>
                <w:highlight w:val="none"/>
                <w:lang w:val="en-US" w:eastAsia="zh-CN"/>
              </w:rPr>
              <w:t>本项目属于</w:t>
            </w:r>
            <w:r>
              <w:rPr>
                <w:rFonts w:hint="eastAsia" w:ascii="Times New Roman" w:hAnsi="Times New Roman" w:eastAsia="宋体" w:cs="Times New Roman"/>
                <w:smallCaps/>
                <w:color w:val="auto"/>
                <w:sz w:val="21"/>
                <w:szCs w:val="21"/>
                <w:highlight w:val="none"/>
                <w:lang w:val="en-US" w:eastAsia="zh-CN"/>
              </w:rPr>
              <w:t>环境质量</w:t>
            </w:r>
            <w:r>
              <w:rPr>
                <w:rFonts w:hint="default" w:ascii="Times New Roman" w:hAnsi="Times New Roman" w:eastAsia="宋体" w:cs="Times New Roman"/>
                <w:smallCaps/>
                <w:color w:val="auto"/>
                <w:sz w:val="21"/>
                <w:szCs w:val="21"/>
                <w:highlight w:val="none"/>
                <w:lang w:val="en-US" w:eastAsia="zh-CN"/>
              </w:rPr>
              <w:t>达标区的建设项目</w:t>
            </w:r>
            <w:r>
              <w:rPr>
                <w:rFonts w:hint="eastAsia" w:ascii="Times New Roman" w:hAnsi="Times New Roman" w:eastAsia="宋体" w:cs="Times New Roman"/>
                <w:smallCaps/>
                <w:color w:val="auto"/>
                <w:sz w:val="21"/>
                <w:szCs w:val="21"/>
                <w:highlight w:val="none"/>
                <w:lang w:val="en-US" w:eastAsia="zh-CN"/>
              </w:rPr>
              <w:t>，且项目</w:t>
            </w:r>
            <w:r>
              <w:rPr>
                <w:rFonts w:hint="default" w:ascii="Times New Roman" w:hAnsi="Times New Roman" w:eastAsia="宋体" w:cs="Times New Roman"/>
                <w:smallCaps/>
                <w:color w:val="auto"/>
                <w:sz w:val="21"/>
                <w:szCs w:val="21"/>
                <w:highlight w:val="none"/>
                <w:lang w:val="en-US" w:eastAsia="zh-CN"/>
              </w:rPr>
              <w:t>生产、处置或储存能力</w:t>
            </w:r>
            <w:r>
              <w:rPr>
                <w:rFonts w:hint="eastAsia" w:ascii="Times New Roman" w:hAnsi="Times New Roman" w:eastAsia="宋体" w:cs="Times New Roman"/>
                <w:smallCaps/>
                <w:color w:val="auto"/>
                <w:sz w:val="21"/>
                <w:szCs w:val="21"/>
                <w:highlight w:val="none"/>
                <w:lang w:val="en-US" w:eastAsia="zh-CN"/>
              </w:rPr>
              <w:t>不变</w:t>
            </w:r>
          </w:p>
        </w:tc>
        <w:tc>
          <w:tcPr>
            <w:tcW w:w="418" w:type="pct"/>
            <w:noWrap w:val="0"/>
            <w:vAlign w:val="center"/>
          </w:tcPr>
          <w:p w14:paraId="4CC0291A">
            <w:pPr>
              <w:pStyle w:val="13"/>
              <w:keepNext w:val="0"/>
              <w:keepLines w:val="0"/>
              <w:pageBreakBefore w:val="0"/>
              <w:widowControl w:val="0"/>
              <w:tabs>
                <w:tab w:val="right" w:leader="dot" w:pos="9457"/>
              </w:tabs>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smallCaps/>
                <w:color w:val="auto"/>
                <w:sz w:val="21"/>
                <w:szCs w:val="21"/>
                <w:highlight w:val="none"/>
                <w:lang w:val="en-US" w:eastAsia="zh-CN"/>
              </w:rPr>
            </w:pPr>
            <w:r>
              <w:rPr>
                <w:rFonts w:hint="eastAsia" w:ascii="Times New Roman" w:hAnsi="Times New Roman" w:eastAsia="宋体" w:cs="Times New Roman"/>
                <w:smallCaps/>
                <w:color w:val="auto"/>
                <w:kern w:val="2"/>
                <w:sz w:val="21"/>
                <w:szCs w:val="21"/>
                <w:highlight w:val="none"/>
                <w:lang w:val="en-US" w:eastAsia="zh-CN" w:bidi="ar-SA"/>
              </w:rPr>
              <w:t>/</w:t>
            </w:r>
          </w:p>
        </w:tc>
        <w:tc>
          <w:tcPr>
            <w:tcW w:w="417" w:type="pct"/>
            <w:noWrap w:val="0"/>
            <w:vAlign w:val="center"/>
          </w:tcPr>
          <w:p w14:paraId="6CF1E37D">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smallCaps/>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w:t>
            </w:r>
          </w:p>
        </w:tc>
      </w:tr>
      <w:tr w14:paraId="6CC6B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3" w:type="pct"/>
            <w:noWrap w:val="0"/>
            <w:vAlign w:val="center"/>
          </w:tcPr>
          <w:p w14:paraId="2E9B6282">
            <w:pPr>
              <w:pStyle w:val="13"/>
              <w:keepNext w:val="0"/>
              <w:keepLines w:val="0"/>
              <w:pageBreakBefore w:val="0"/>
              <w:widowControl w:val="0"/>
              <w:tabs>
                <w:tab w:val="right" w:leader="dot" w:pos="9457"/>
              </w:tabs>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smallCaps/>
                <w:color w:val="auto"/>
                <w:sz w:val="21"/>
                <w:szCs w:val="21"/>
                <w:highlight w:val="none"/>
                <w:lang w:val="en-US" w:eastAsia="zh-CN"/>
              </w:rPr>
            </w:pPr>
            <w:r>
              <w:rPr>
                <w:rFonts w:hint="default" w:ascii="Times New Roman" w:hAnsi="Times New Roman" w:eastAsia="宋体" w:cs="Times New Roman"/>
                <w:smallCaps/>
                <w:color w:val="auto"/>
                <w:sz w:val="21"/>
                <w:szCs w:val="21"/>
                <w:highlight w:val="none"/>
                <w:lang w:val="en-US" w:eastAsia="zh-CN"/>
              </w:rPr>
              <w:t>5</w:t>
            </w:r>
          </w:p>
        </w:tc>
        <w:tc>
          <w:tcPr>
            <w:tcW w:w="1984" w:type="pct"/>
            <w:noWrap w:val="0"/>
            <w:vAlign w:val="center"/>
          </w:tcPr>
          <w:p w14:paraId="43316A15">
            <w:pPr>
              <w:pStyle w:val="13"/>
              <w:keepNext w:val="0"/>
              <w:keepLines w:val="0"/>
              <w:pageBreakBefore w:val="0"/>
              <w:widowControl w:val="0"/>
              <w:tabs>
                <w:tab w:val="right" w:leader="dot" w:pos="9457"/>
              </w:tabs>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smallCaps/>
                <w:color w:val="auto"/>
                <w:sz w:val="21"/>
                <w:szCs w:val="21"/>
                <w:highlight w:val="none"/>
                <w:lang w:val="en-US" w:eastAsia="zh-CN"/>
              </w:rPr>
            </w:pPr>
            <w:r>
              <w:rPr>
                <w:rFonts w:hint="default" w:ascii="Times New Roman" w:hAnsi="Times New Roman" w:eastAsia="宋体" w:cs="Times New Roman"/>
                <w:smallCaps/>
                <w:color w:val="auto"/>
                <w:sz w:val="21"/>
                <w:szCs w:val="21"/>
                <w:highlight w:val="none"/>
                <w:lang w:val="en-US" w:eastAsia="zh-CN"/>
              </w:rPr>
              <w:t>重新选址；在原厂址附近调整（包括总平面布置变化）导致环境防护距离范围变化且新增敏感点的</w:t>
            </w:r>
          </w:p>
        </w:tc>
        <w:tc>
          <w:tcPr>
            <w:tcW w:w="1976" w:type="pct"/>
            <w:gridSpan w:val="2"/>
            <w:noWrap w:val="0"/>
            <w:vAlign w:val="center"/>
          </w:tcPr>
          <w:p w14:paraId="378CC57F">
            <w:pPr>
              <w:pStyle w:val="13"/>
              <w:keepNext w:val="0"/>
              <w:keepLines w:val="0"/>
              <w:pageBreakBefore w:val="0"/>
              <w:widowControl w:val="0"/>
              <w:tabs>
                <w:tab w:val="right" w:leader="dot" w:pos="9457"/>
              </w:tabs>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smallCaps/>
                <w:color w:val="auto"/>
                <w:sz w:val="21"/>
                <w:szCs w:val="21"/>
                <w:highlight w:val="none"/>
                <w:lang w:val="en-US" w:eastAsia="zh-CN"/>
              </w:rPr>
            </w:pPr>
            <w:r>
              <w:rPr>
                <w:rFonts w:hint="default" w:ascii="Times New Roman" w:hAnsi="Times New Roman" w:eastAsia="宋体" w:cs="Times New Roman"/>
                <w:smallCaps/>
                <w:color w:val="auto"/>
                <w:sz w:val="21"/>
                <w:szCs w:val="21"/>
                <w:highlight w:val="none"/>
                <w:lang w:val="en-US" w:eastAsia="zh-CN"/>
              </w:rPr>
              <w:t>项目选址未改变</w:t>
            </w:r>
          </w:p>
        </w:tc>
        <w:tc>
          <w:tcPr>
            <w:tcW w:w="418" w:type="pct"/>
            <w:noWrap w:val="0"/>
            <w:vAlign w:val="center"/>
          </w:tcPr>
          <w:p w14:paraId="5D80ED8A">
            <w:pPr>
              <w:pStyle w:val="13"/>
              <w:keepNext w:val="0"/>
              <w:keepLines w:val="0"/>
              <w:pageBreakBefore w:val="0"/>
              <w:widowControl w:val="0"/>
              <w:tabs>
                <w:tab w:val="right" w:leader="dot" w:pos="9457"/>
              </w:tabs>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smallCaps/>
                <w:color w:val="auto"/>
                <w:sz w:val="21"/>
                <w:szCs w:val="21"/>
                <w:highlight w:val="none"/>
                <w:lang w:val="en-US" w:eastAsia="zh-CN"/>
              </w:rPr>
            </w:pPr>
            <w:r>
              <w:rPr>
                <w:rFonts w:hint="eastAsia" w:ascii="Times New Roman" w:hAnsi="Times New Roman" w:eastAsia="宋体" w:cs="Times New Roman"/>
                <w:smallCaps/>
                <w:color w:val="auto"/>
                <w:kern w:val="2"/>
                <w:sz w:val="21"/>
                <w:szCs w:val="21"/>
                <w:highlight w:val="none"/>
                <w:lang w:val="en-US" w:eastAsia="zh-CN" w:bidi="ar-SA"/>
              </w:rPr>
              <w:t>/</w:t>
            </w:r>
          </w:p>
        </w:tc>
        <w:tc>
          <w:tcPr>
            <w:tcW w:w="417" w:type="pct"/>
            <w:noWrap w:val="0"/>
            <w:vAlign w:val="center"/>
          </w:tcPr>
          <w:p w14:paraId="0C3A2590">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smallCaps/>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w:t>
            </w:r>
          </w:p>
        </w:tc>
      </w:tr>
      <w:tr w14:paraId="391F9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1" w:hRule="atLeast"/>
          <w:jc w:val="center"/>
        </w:trPr>
        <w:tc>
          <w:tcPr>
            <w:tcW w:w="203" w:type="pct"/>
            <w:noWrap w:val="0"/>
            <w:vAlign w:val="center"/>
          </w:tcPr>
          <w:p w14:paraId="16D6EC4A">
            <w:pPr>
              <w:pStyle w:val="13"/>
              <w:keepNext w:val="0"/>
              <w:keepLines w:val="0"/>
              <w:pageBreakBefore w:val="0"/>
              <w:widowControl w:val="0"/>
              <w:tabs>
                <w:tab w:val="right" w:leader="dot" w:pos="9457"/>
              </w:tabs>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smallCaps/>
                <w:color w:val="auto"/>
                <w:sz w:val="21"/>
                <w:szCs w:val="21"/>
                <w:highlight w:val="none"/>
                <w:lang w:val="en-US" w:eastAsia="zh-CN"/>
              </w:rPr>
            </w:pPr>
            <w:r>
              <w:rPr>
                <w:rFonts w:hint="default" w:ascii="Times New Roman" w:hAnsi="Times New Roman" w:eastAsia="宋体" w:cs="Times New Roman"/>
                <w:smallCaps/>
                <w:color w:val="auto"/>
                <w:sz w:val="21"/>
                <w:szCs w:val="21"/>
                <w:highlight w:val="none"/>
                <w:lang w:val="en-US" w:eastAsia="zh-CN"/>
              </w:rPr>
              <w:t>6</w:t>
            </w:r>
          </w:p>
        </w:tc>
        <w:tc>
          <w:tcPr>
            <w:tcW w:w="1984" w:type="pct"/>
            <w:noWrap w:val="0"/>
            <w:vAlign w:val="center"/>
          </w:tcPr>
          <w:p w14:paraId="7951F8DA">
            <w:pPr>
              <w:pStyle w:val="13"/>
              <w:keepNext w:val="0"/>
              <w:keepLines w:val="0"/>
              <w:pageBreakBefore w:val="0"/>
              <w:widowControl w:val="0"/>
              <w:tabs>
                <w:tab w:val="right" w:leader="dot" w:pos="9457"/>
              </w:tabs>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smallCaps/>
                <w:color w:val="auto"/>
                <w:sz w:val="21"/>
                <w:szCs w:val="21"/>
                <w:highlight w:val="none"/>
                <w:lang w:val="en-US" w:eastAsia="zh-CN"/>
              </w:rPr>
            </w:pPr>
            <w:r>
              <w:rPr>
                <w:rFonts w:hint="default" w:ascii="Times New Roman" w:hAnsi="Times New Roman" w:eastAsia="宋体" w:cs="Times New Roman"/>
                <w:smallCaps/>
                <w:color w:val="auto"/>
                <w:sz w:val="21"/>
                <w:szCs w:val="21"/>
                <w:highlight w:val="none"/>
                <w:lang w:val="en-US" w:eastAsia="zh-CN"/>
              </w:rPr>
              <w:t>新增产品品种或生产工艺（含主要生产装置、设备及配套设施）、主要原辅材料、燃料变化，导致以下情形之一：</w:t>
            </w:r>
          </w:p>
          <w:p w14:paraId="49DF1F49">
            <w:pPr>
              <w:pStyle w:val="13"/>
              <w:keepNext w:val="0"/>
              <w:keepLines w:val="0"/>
              <w:pageBreakBefore w:val="0"/>
              <w:widowControl w:val="0"/>
              <w:tabs>
                <w:tab w:val="right" w:leader="dot" w:pos="9457"/>
              </w:tabs>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smallCaps/>
                <w:color w:val="auto"/>
                <w:sz w:val="21"/>
                <w:szCs w:val="21"/>
                <w:highlight w:val="none"/>
                <w:lang w:val="en-US" w:eastAsia="zh-CN"/>
              </w:rPr>
            </w:pPr>
            <w:r>
              <w:rPr>
                <w:rFonts w:hint="default" w:ascii="Times New Roman" w:hAnsi="Times New Roman" w:eastAsia="宋体" w:cs="Times New Roman"/>
                <w:smallCaps/>
                <w:color w:val="auto"/>
                <w:sz w:val="21"/>
                <w:szCs w:val="21"/>
                <w:highlight w:val="none"/>
                <w:lang w:val="en-US" w:eastAsia="zh-CN"/>
              </w:rPr>
              <w:t>（1）新增排放污染物种类的（毒性、挥发性降低的除外）；</w:t>
            </w:r>
          </w:p>
          <w:p w14:paraId="283EB19A">
            <w:pPr>
              <w:pStyle w:val="13"/>
              <w:keepNext w:val="0"/>
              <w:keepLines w:val="0"/>
              <w:pageBreakBefore w:val="0"/>
              <w:widowControl w:val="0"/>
              <w:tabs>
                <w:tab w:val="right" w:leader="dot" w:pos="9457"/>
              </w:tabs>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smallCaps/>
                <w:color w:val="auto"/>
                <w:sz w:val="21"/>
                <w:szCs w:val="21"/>
                <w:highlight w:val="none"/>
                <w:lang w:val="en-US" w:eastAsia="zh-CN"/>
              </w:rPr>
            </w:pPr>
            <w:r>
              <w:rPr>
                <w:rFonts w:hint="default" w:ascii="Times New Roman" w:hAnsi="Times New Roman" w:eastAsia="宋体" w:cs="Times New Roman"/>
                <w:smallCaps/>
                <w:color w:val="auto"/>
                <w:sz w:val="21"/>
                <w:szCs w:val="21"/>
                <w:highlight w:val="none"/>
                <w:lang w:val="en-US" w:eastAsia="zh-CN"/>
              </w:rPr>
              <w:t>（2）位于环境质量不达标区的建设项目相应污染物排放量增加的；</w:t>
            </w:r>
          </w:p>
          <w:p w14:paraId="62C8EF13">
            <w:pPr>
              <w:pStyle w:val="13"/>
              <w:keepNext w:val="0"/>
              <w:keepLines w:val="0"/>
              <w:pageBreakBefore w:val="0"/>
              <w:widowControl w:val="0"/>
              <w:tabs>
                <w:tab w:val="right" w:leader="dot" w:pos="9457"/>
              </w:tabs>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smallCaps/>
                <w:color w:val="auto"/>
                <w:sz w:val="21"/>
                <w:szCs w:val="21"/>
                <w:highlight w:val="none"/>
                <w:lang w:val="en-US" w:eastAsia="zh-CN"/>
              </w:rPr>
            </w:pPr>
            <w:r>
              <w:rPr>
                <w:rFonts w:hint="default" w:ascii="Times New Roman" w:hAnsi="Times New Roman" w:eastAsia="宋体" w:cs="Times New Roman"/>
                <w:smallCaps/>
                <w:color w:val="auto"/>
                <w:sz w:val="21"/>
                <w:szCs w:val="21"/>
                <w:highlight w:val="none"/>
                <w:lang w:val="en-US" w:eastAsia="zh-CN"/>
              </w:rPr>
              <w:t>（3）废水第一类污染物排放量增加的；</w:t>
            </w:r>
          </w:p>
          <w:p w14:paraId="5A2E7CF3">
            <w:pPr>
              <w:pStyle w:val="13"/>
              <w:keepNext w:val="0"/>
              <w:keepLines w:val="0"/>
              <w:pageBreakBefore w:val="0"/>
              <w:widowControl w:val="0"/>
              <w:tabs>
                <w:tab w:val="right" w:leader="dot" w:pos="9457"/>
              </w:tabs>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smallCaps/>
                <w:color w:val="auto"/>
                <w:sz w:val="21"/>
                <w:szCs w:val="21"/>
                <w:highlight w:val="none"/>
                <w:lang w:val="en-US" w:eastAsia="zh-CN"/>
              </w:rPr>
            </w:pPr>
            <w:r>
              <w:rPr>
                <w:rFonts w:hint="default" w:ascii="Times New Roman" w:hAnsi="Times New Roman" w:eastAsia="宋体" w:cs="Times New Roman"/>
                <w:smallCaps/>
                <w:color w:val="auto"/>
                <w:sz w:val="21"/>
                <w:szCs w:val="21"/>
                <w:highlight w:val="none"/>
                <w:lang w:val="en-US" w:eastAsia="zh-CN"/>
              </w:rPr>
              <w:t>（4）其他污染物排放量增加10%及以上的</w:t>
            </w:r>
            <w:r>
              <w:rPr>
                <w:rFonts w:hint="eastAsia" w:ascii="Times New Roman" w:hAnsi="Times New Roman" w:eastAsia="宋体" w:cs="Times New Roman"/>
                <w:smallCaps/>
                <w:color w:val="auto"/>
                <w:sz w:val="21"/>
                <w:szCs w:val="21"/>
                <w:highlight w:val="none"/>
                <w:lang w:val="en-US" w:eastAsia="zh-CN"/>
              </w:rPr>
              <w:t>。</w:t>
            </w:r>
          </w:p>
        </w:tc>
        <w:tc>
          <w:tcPr>
            <w:tcW w:w="1976" w:type="pct"/>
            <w:gridSpan w:val="2"/>
            <w:noWrap w:val="0"/>
            <w:vAlign w:val="center"/>
          </w:tcPr>
          <w:p w14:paraId="532CB5B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项目不</w:t>
            </w:r>
            <w:r>
              <w:rPr>
                <w:rFonts w:hint="default" w:ascii="Times New Roman" w:hAnsi="Times New Roman" w:eastAsia="宋体" w:cs="Times New Roman"/>
                <w:smallCaps/>
                <w:color w:val="auto"/>
                <w:sz w:val="21"/>
                <w:szCs w:val="21"/>
                <w:highlight w:val="none"/>
                <w:lang w:val="en-US" w:eastAsia="zh-CN"/>
              </w:rPr>
              <w:t>新增产品品种或生产工艺（含主要生产装置、设备及配套设施）、主要原辅材料、燃料变化</w:t>
            </w:r>
            <w:r>
              <w:rPr>
                <w:rFonts w:hint="eastAsia" w:ascii="Times New Roman" w:hAnsi="Times New Roman" w:eastAsia="宋体" w:cs="Times New Roman"/>
                <w:smallCaps/>
                <w:color w:val="auto"/>
                <w:sz w:val="21"/>
                <w:szCs w:val="21"/>
                <w:highlight w:val="none"/>
                <w:lang w:val="en-US" w:eastAsia="zh-CN"/>
              </w:rPr>
              <w:t>。</w:t>
            </w:r>
          </w:p>
        </w:tc>
        <w:tc>
          <w:tcPr>
            <w:tcW w:w="418" w:type="pct"/>
            <w:shd w:val="clear" w:color="auto" w:fill="auto"/>
            <w:noWrap w:val="0"/>
            <w:vAlign w:val="center"/>
          </w:tcPr>
          <w:p w14:paraId="0CB67F33">
            <w:pPr>
              <w:pStyle w:val="13"/>
              <w:keepNext w:val="0"/>
              <w:keepLines w:val="0"/>
              <w:pageBreakBefore w:val="0"/>
              <w:widowControl w:val="0"/>
              <w:tabs>
                <w:tab w:val="right" w:leader="dot" w:pos="9457"/>
              </w:tabs>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宋体" w:cs="Times New Roman"/>
                <w:smallCaps/>
                <w:color w:val="auto"/>
                <w:kern w:val="2"/>
                <w:sz w:val="21"/>
                <w:szCs w:val="21"/>
                <w:highlight w:val="none"/>
                <w:lang w:val="en-US" w:eastAsia="zh-CN" w:bidi="ar-SA"/>
              </w:rPr>
            </w:pPr>
            <w:r>
              <w:rPr>
                <w:rFonts w:hint="eastAsia" w:ascii="Times New Roman" w:hAnsi="Times New Roman" w:eastAsia="宋体" w:cs="Times New Roman"/>
                <w:smallCaps/>
                <w:color w:val="auto"/>
                <w:kern w:val="2"/>
                <w:sz w:val="21"/>
                <w:szCs w:val="21"/>
                <w:highlight w:val="none"/>
                <w:lang w:val="en-US" w:eastAsia="zh-CN" w:bidi="ar-SA"/>
              </w:rPr>
              <w:t>/</w:t>
            </w:r>
          </w:p>
        </w:tc>
        <w:tc>
          <w:tcPr>
            <w:tcW w:w="417" w:type="pct"/>
            <w:shd w:val="clear" w:color="auto" w:fill="auto"/>
            <w:noWrap w:val="0"/>
            <w:vAlign w:val="center"/>
          </w:tcPr>
          <w:p w14:paraId="58F45C78">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smallCaps/>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w:t>
            </w:r>
          </w:p>
        </w:tc>
      </w:tr>
      <w:tr w14:paraId="16ED5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3" w:type="pct"/>
            <w:noWrap w:val="0"/>
            <w:vAlign w:val="center"/>
          </w:tcPr>
          <w:p w14:paraId="3446C1D8">
            <w:pPr>
              <w:pStyle w:val="13"/>
              <w:keepNext w:val="0"/>
              <w:keepLines w:val="0"/>
              <w:pageBreakBefore w:val="0"/>
              <w:widowControl w:val="0"/>
              <w:tabs>
                <w:tab w:val="right" w:leader="dot" w:pos="9457"/>
              </w:tabs>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smallCaps/>
                <w:color w:val="auto"/>
                <w:sz w:val="21"/>
                <w:szCs w:val="21"/>
                <w:highlight w:val="none"/>
                <w:lang w:val="en-US" w:eastAsia="zh-CN"/>
              </w:rPr>
            </w:pPr>
            <w:r>
              <w:rPr>
                <w:rFonts w:hint="default" w:ascii="Times New Roman" w:hAnsi="Times New Roman" w:eastAsia="宋体" w:cs="Times New Roman"/>
                <w:smallCaps/>
                <w:color w:val="auto"/>
                <w:sz w:val="21"/>
                <w:szCs w:val="21"/>
                <w:highlight w:val="none"/>
                <w:lang w:val="en-US" w:eastAsia="zh-CN"/>
              </w:rPr>
              <w:t>7</w:t>
            </w:r>
          </w:p>
        </w:tc>
        <w:tc>
          <w:tcPr>
            <w:tcW w:w="1984" w:type="pct"/>
            <w:noWrap w:val="0"/>
            <w:vAlign w:val="center"/>
          </w:tcPr>
          <w:p w14:paraId="2337A6E0">
            <w:pPr>
              <w:pStyle w:val="13"/>
              <w:keepNext w:val="0"/>
              <w:keepLines w:val="0"/>
              <w:pageBreakBefore w:val="0"/>
              <w:widowControl w:val="0"/>
              <w:tabs>
                <w:tab w:val="right" w:leader="dot" w:pos="9457"/>
              </w:tabs>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smallCaps/>
                <w:color w:val="auto"/>
                <w:sz w:val="21"/>
                <w:szCs w:val="21"/>
                <w:highlight w:val="none"/>
                <w:lang w:val="en-US" w:eastAsia="zh-CN"/>
              </w:rPr>
            </w:pPr>
            <w:r>
              <w:rPr>
                <w:rFonts w:hint="default" w:ascii="Times New Roman" w:hAnsi="Times New Roman" w:eastAsia="宋体" w:cs="Times New Roman"/>
                <w:smallCaps/>
                <w:color w:val="auto"/>
                <w:sz w:val="21"/>
                <w:szCs w:val="21"/>
                <w:highlight w:val="none"/>
                <w:lang w:val="en-US" w:eastAsia="zh-CN"/>
              </w:rPr>
              <w:t>物料运输、装卸、贮存方式变化，导致大气污染物无组织排放量增加10%及以上的</w:t>
            </w:r>
          </w:p>
        </w:tc>
        <w:tc>
          <w:tcPr>
            <w:tcW w:w="1976" w:type="pct"/>
            <w:gridSpan w:val="2"/>
            <w:noWrap w:val="0"/>
            <w:vAlign w:val="center"/>
          </w:tcPr>
          <w:p w14:paraId="1983D94A">
            <w:pPr>
              <w:pStyle w:val="13"/>
              <w:keepNext w:val="0"/>
              <w:keepLines w:val="0"/>
              <w:pageBreakBefore w:val="0"/>
              <w:widowControl w:val="0"/>
              <w:tabs>
                <w:tab w:val="right" w:leader="dot" w:pos="9457"/>
              </w:tabs>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smallCaps/>
                <w:color w:val="auto"/>
                <w:sz w:val="21"/>
                <w:szCs w:val="21"/>
                <w:highlight w:val="none"/>
                <w:lang w:val="en-US" w:eastAsia="zh-CN"/>
              </w:rPr>
            </w:pPr>
            <w:r>
              <w:rPr>
                <w:rFonts w:hint="default" w:ascii="Times New Roman" w:hAnsi="Times New Roman" w:eastAsia="宋体" w:cs="Times New Roman"/>
                <w:smallCaps/>
                <w:color w:val="auto"/>
                <w:sz w:val="21"/>
                <w:szCs w:val="21"/>
                <w:highlight w:val="none"/>
                <w:lang w:val="en-US" w:eastAsia="zh-CN"/>
              </w:rPr>
              <w:t>物料运输、装卸、贮存方式</w:t>
            </w:r>
            <w:r>
              <w:rPr>
                <w:rFonts w:hint="eastAsia" w:ascii="Times New Roman" w:hAnsi="Times New Roman" w:eastAsia="宋体" w:cs="Times New Roman"/>
                <w:smallCaps/>
                <w:color w:val="auto"/>
                <w:sz w:val="21"/>
                <w:szCs w:val="21"/>
                <w:highlight w:val="none"/>
                <w:lang w:val="en-US" w:eastAsia="zh-CN"/>
              </w:rPr>
              <w:t>未发生</w:t>
            </w:r>
            <w:r>
              <w:rPr>
                <w:rFonts w:hint="default" w:ascii="Times New Roman" w:hAnsi="Times New Roman" w:eastAsia="宋体" w:cs="Times New Roman"/>
                <w:smallCaps/>
                <w:color w:val="auto"/>
                <w:sz w:val="21"/>
                <w:szCs w:val="21"/>
                <w:highlight w:val="none"/>
                <w:lang w:val="en-US" w:eastAsia="zh-CN"/>
              </w:rPr>
              <w:t>变化</w:t>
            </w:r>
          </w:p>
        </w:tc>
        <w:tc>
          <w:tcPr>
            <w:tcW w:w="418" w:type="pct"/>
            <w:noWrap w:val="0"/>
            <w:vAlign w:val="center"/>
          </w:tcPr>
          <w:p w14:paraId="2852FA5A">
            <w:pPr>
              <w:pStyle w:val="13"/>
              <w:keepNext w:val="0"/>
              <w:keepLines w:val="0"/>
              <w:pageBreakBefore w:val="0"/>
              <w:widowControl w:val="0"/>
              <w:tabs>
                <w:tab w:val="right" w:leader="dot" w:pos="9457"/>
              </w:tabs>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smallCaps/>
                <w:color w:val="auto"/>
                <w:sz w:val="21"/>
                <w:szCs w:val="21"/>
                <w:highlight w:val="none"/>
                <w:lang w:val="en-US" w:eastAsia="zh-CN"/>
              </w:rPr>
            </w:pPr>
            <w:r>
              <w:rPr>
                <w:rFonts w:hint="eastAsia" w:ascii="Times New Roman" w:hAnsi="Times New Roman" w:eastAsia="宋体" w:cs="Times New Roman"/>
                <w:smallCaps/>
                <w:color w:val="auto"/>
                <w:sz w:val="21"/>
                <w:szCs w:val="21"/>
                <w:highlight w:val="none"/>
                <w:lang w:val="en-US" w:eastAsia="zh-CN"/>
              </w:rPr>
              <w:t>/</w:t>
            </w:r>
          </w:p>
        </w:tc>
        <w:tc>
          <w:tcPr>
            <w:tcW w:w="417" w:type="pct"/>
            <w:noWrap w:val="0"/>
            <w:vAlign w:val="center"/>
          </w:tcPr>
          <w:p w14:paraId="13309241">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smallCaps/>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w:t>
            </w:r>
          </w:p>
        </w:tc>
      </w:tr>
      <w:tr w14:paraId="2190D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3" w:type="pct"/>
            <w:vMerge w:val="restart"/>
            <w:noWrap w:val="0"/>
            <w:vAlign w:val="center"/>
          </w:tcPr>
          <w:p w14:paraId="472E55CF">
            <w:pPr>
              <w:pStyle w:val="13"/>
              <w:keepNext w:val="0"/>
              <w:keepLines w:val="0"/>
              <w:pageBreakBefore w:val="0"/>
              <w:widowControl w:val="0"/>
              <w:tabs>
                <w:tab w:val="right" w:leader="dot" w:pos="9457"/>
              </w:tabs>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smallCaps/>
                <w:color w:val="auto"/>
                <w:sz w:val="21"/>
                <w:szCs w:val="21"/>
                <w:highlight w:val="none"/>
                <w:lang w:val="en-US" w:eastAsia="zh-CN"/>
              </w:rPr>
            </w:pPr>
            <w:r>
              <w:rPr>
                <w:rFonts w:hint="default" w:ascii="Times New Roman" w:hAnsi="Times New Roman" w:eastAsia="宋体" w:cs="Times New Roman"/>
                <w:smallCaps/>
                <w:color w:val="auto"/>
                <w:sz w:val="21"/>
                <w:szCs w:val="21"/>
                <w:highlight w:val="none"/>
                <w:lang w:val="en-US" w:eastAsia="zh-CN"/>
              </w:rPr>
              <w:t>8</w:t>
            </w:r>
          </w:p>
        </w:tc>
        <w:tc>
          <w:tcPr>
            <w:tcW w:w="1984" w:type="pct"/>
            <w:vMerge w:val="restart"/>
            <w:noWrap w:val="0"/>
            <w:vAlign w:val="center"/>
          </w:tcPr>
          <w:p w14:paraId="1FCC80EE">
            <w:pPr>
              <w:pStyle w:val="13"/>
              <w:keepNext w:val="0"/>
              <w:keepLines w:val="0"/>
              <w:pageBreakBefore w:val="0"/>
              <w:widowControl w:val="0"/>
              <w:tabs>
                <w:tab w:val="right" w:leader="dot" w:pos="9457"/>
              </w:tabs>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smallCaps/>
                <w:color w:val="auto"/>
                <w:sz w:val="21"/>
                <w:szCs w:val="21"/>
                <w:highlight w:val="none"/>
                <w:lang w:val="en-US" w:eastAsia="zh-CN"/>
              </w:rPr>
            </w:pPr>
            <w:r>
              <w:rPr>
                <w:rFonts w:hint="default" w:ascii="Times New Roman" w:hAnsi="Times New Roman" w:eastAsia="宋体" w:cs="Times New Roman"/>
                <w:smallCaps/>
                <w:color w:val="auto"/>
                <w:sz w:val="21"/>
                <w:szCs w:val="21"/>
                <w:highlight w:val="none"/>
                <w:lang w:val="en-US" w:eastAsia="zh-CN"/>
              </w:rPr>
              <w:t>废气、废水污染防治措施变化，导致第6条中所列情形之一（废气无组织排放改为有组织排放、污染防治措施强化或改进的除外）或大气污染物无组织排放量增加10%及以上的</w:t>
            </w:r>
          </w:p>
        </w:tc>
        <w:tc>
          <w:tcPr>
            <w:tcW w:w="941" w:type="pct"/>
            <w:noWrap w:val="0"/>
            <w:vAlign w:val="center"/>
          </w:tcPr>
          <w:p w14:paraId="78362BE4">
            <w:pPr>
              <w:pStyle w:val="13"/>
              <w:keepNext w:val="0"/>
              <w:keepLines w:val="0"/>
              <w:pageBreakBefore w:val="0"/>
              <w:widowControl w:val="0"/>
              <w:tabs>
                <w:tab w:val="right" w:leader="dot" w:pos="9457"/>
              </w:tabs>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smallCaps/>
                <w:color w:val="auto"/>
                <w:sz w:val="21"/>
                <w:szCs w:val="21"/>
                <w:highlight w:val="none"/>
                <w:lang w:val="en-US" w:eastAsia="zh-CN"/>
              </w:rPr>
            </w:pPr>
            <w:r>
              <w:rPr>
                <w:rFonts w:hint="eastAsia" w:ascii="Times New Roman" w:hAnsi="Times New Roman" w:eastAsia="宋体" w:cs="Times New Roman"/>
                <w:smallCaps/>
                <w:color w:val="auto"/>
                <w:sz w:val="21"/>
                <w:szCs w:val="21"/>
                <w:highlight w:val="none"/>
                <w:lang w:val="en-US" w:eastAsia="zh-CN"/>
              </w:rPr>
              <w:t>（1）在挤压造粒生产线投料口上方设置集气罩收集投料废气。</w:t>
            </w:r>
          </w:p>
        </w:tc>
        <w:tc>
          <w:tcPr>
            <w:tcW w:w="1034" w:type="pct"/>
            <w:noWrap w:val="0"/>
            <w:vAlign w:val="center"/>
          </w:tcPr>
          <w:p w14:paraId="4DD65904">
            <w:pPr>
              <w:pStyle w:val="13"/>
              <w:keepNext w:val="0"/>
              <w:keepLines w:val="0"/>
              <w:pageBreakBefore w:val="0"/>
              <w:widowControl w:val="0"/>
              <w:tabs>
                <w:tab w:val="right" w:leader="dot" w:pos="9457"/>
              </w:tabs>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smallCaps/>
                <w:color w:val="auto"/>
                <w:sz w:val="21"/>
                <w:szCs w:val="21"/>
                <w:highlight w:val="none"/>
                <w:lang w:val="en-US" w:eastAsia="zh-CN"/>
              </w:rPr>
            </w:pPr>
            <w:r>
              <w:rPr>
                <w:rFonts w:hint="eastAsia" w:ascii="Times New Roman" w:hAnsi="Times New Roman" w:eastAsia="宋体" w:cs="Times New Roman"/>
                <w:smallCaps/>
                <w:color w:val="auto"/>
                <w:sz w:val="21"/>
                <w:szCs w:val="21"/>
                <w:highlight w:val="none"/>
                <w:lang w:val="en-US" w:eastAsia="zh-CN"/>
              </w:rPr>
              <w:t>（1）原料采用叉车整包倒置投入投料漏斗中，包装袋与投料口密合，袋口倒置，在漏斗内拆包。</w:t>
            </w:r>
          </w:p>
        </w:tc>
        <w:tc>
          <w:tcPr>
            <w:tcW w:w="418" w:type="pct"/>
            <w:noWrap w:val="0"/>
            <w:vAlign w:val="center"/>
          </w:tcPr>
          <w:p w14:paraId="10262203">
            <w:pPr>
              <w:pStyle w:val="13"/>
              <w:keepNext w:val="0"/>
              <w:keepLines w:val="0"/>
              <w:pageBreakBefore w:val="0"/>
              <w:widowControl w:val="0"/>
              <w:tabs>
                <w:tab w:val="right" w:leader="dot" w:pos="9457"/>
              </w:tabs>
              <w:kinsoku/>
              <w:wordWrap/>
              <w:overflowPunct/>
              <w:topLinePunct w:val="0"/>
              <w:autoSpaceDE/>
              <w:autoSpaceDN/>
              <w:bidi w:val="0"/>
              <w:adjustRightInd/>
              <w:snapToGrid/>
              <w:ind w:left="0" w:leftChars="0" w:firstLine="0" w:firstLineChars="0"/>
              <w:jc w:val="center"/>
              <w:textAlignment w:val="auto"/>
              <w:rPr>
                <w:rFonts w:hint="default"/>
                <w:highlight w:val="none"/>
                <w:lang w:val="en-US" w:eastAsia="zh-CN"/>
              </w:rPr>
            </w:pPr>
            <w:r>
              <w:rPr>
                <w:rFonts w:hint="eastAsia" w:ascii="Times New Roman" w:hAnsi="Times New Roman" w:eastAsia="宋体" w:cs="Times New Roman"/>
                <w:smallCaps/>
                <w:color w:val="auto"/>
                <w:sz w:val="21"/>
                <w:szCs w:val="21"/>
                <w:highlight w:val="none"/>
                <w:lang w:val="en-US" w:eastAsia="zh-CN"/>
              </w:rPr>
              <w:t>（1）影响变好。</w:t>
            </w:r>
          </w:p>
        </w:tc>
        <w:tc>
          <w:tcPr>
            <w:tcW w:w="417" w:type="pct"/>
            <w:noWrap w:val="0"/>
            <w:vAlign w:val="center"/>
          </w:tcPr>
          <w:p w14:paraId="264D1E54">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smallCaps/>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不属于</w:t>
            </w:r>
          </w:p>
        </w:tc>
      </w:tr>
      <w:tr w14:paraId="450B3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3" w:type="pct"/>
            <w:vMerge w:val="continue"/>
            <w:noWrap w:val="0"/>
            <w:vAlign w:val="center"/>
          </w:tcPr>
          <w:p w14:paraId="13606C56">
            <w:pPr>
              <w:pStyle w:val="13"/>
              <w:keepNext w:val="0"/>
              <w:keepLines w:val="0"/>
              <w:pageBreakBefore w:val="0"/>
              <w:widowControl w:val="0"/>
              <w:tabs>
                <w:tab w:val="right" w:leader="dot" w:pos="9457"/>
              </w:tabs>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smallCaps/>
                <w:color w:val="auto"/>
                <w:sz w:val="21"/>
                <w:szCs w:val="21"/>
                <w:highlight w:val="none"/>
                <w:lang w:val="en-US" w:eastAsia="zh-CN"/>
              </w:rPr>
            </w:pPr>
          </w:p>
        </w:tc>
        <w:tc>
          <w:tcPr>
            <w:tcW w:w="1984" w:type="pct"/>
            <w:vMerge w:val="continue"/>
            <w:noWrap w:val="0"/>
            <w:vAlign w:val="center"/>
          </w:tcPr>
          <w:p w14:paraId="7EAE9280">
            <w:pPr>
              <w:pStyle w:val="13"/>
              <w:keepNext w:val="0"/>
              <w:keepLines w:val="0"/>
              <w:pageBreakBefore w:val="0"/>
              <w:widowControl w:val="0"/>
              <w:tabs>
                <w:tab w:val="right" w:leader="dot" w:pos="9457"/>
              </w:tabs>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smallCaps/>
                <w:color w:val="auto"/>
                <w:sz w:val="21"/>
                <w:szCs w:val="21"/>
                <w:highlight w:val="none"/>
                <w:lang w:val="en-US" w:eastAsia="zh-CN"/>
              </w:rPr>
            </w:pPr>
          </w:p>
        </w:tc>
        <w:tc>
          <w:tcPr>
            <w:tcW w:w="941" w:type="pct"/>
            <w:noWrap w:val="0"/>
            <w:vAlign w:val="center"/>
          </w:tcPr>
          <w:p w14:paraId="13F27D6B">
            <w:pPr>
              <w:pStyle w:val="13"/>
              <w:keepNext w:val="0"/>
              <w:keepLines w:val="0"/>
              <w:pageBreakBefore w:val="0"/>
              <w:widowControl w:val="0"/>
              <w:tabs>
                <w:tab w:val="right" w:leader="dot" w:pos="9457"/>
              </w:tabs>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宋体" w:cs="Times New Roman"/>
                <w:smallCaps/>
                <w:color w:val="auto"/>
                <w:sz w:val="21"/>
                <w:szCs w:val="21"/>
                <w:highlight w:val="none"/>
                <w:lang w:val="en-US" w:eastAsia="zh-CN"/>
              </w:rPr>
            </w:pPr>
            <w:r>
              <w:rPr>
                <w:rFonts w:hint="eastAsia" w:ascii="Times New Roman" w:hAnsi="Times New Roman" w:eastAsia="宋体" w:cs="Times New Roman"/>
                <w:smallCaps/>
                <w:color w:val="auto"/>
                <w:sz w:val="21"/>
                <w:szCs w:val="21"/>
                <w:highlight w:val="none"/>
                <w:lang w:val="en-US" w:eastAsia="zh-CN"/>
              </w:rPr>
              <w:t>（2）破碎、</w:t>
            </w:r>
            <w:r>
              <w:rPr>
                <w:rFonts w:hint="default" w:ascii="Times New Roman" w:hAnsi="Times New Roman" w:eastAsia="宋体" w:cs="Times New Roman"/>
                <w:smallCaps/>
                <w:color w:val="auto"/>
                <w:sz w:val="21"/>
                <w:szCs w:val="21"/>
                <w:highlight w:val="none"/>
                <w:lang w:val="en-US" w:eastAsia="zh-CN"/>
              </w:rPr>
              <w:t>搅拌过程废气收集后经1套“旋风除尘+重力沉降室”</w:t>
            </w:r>
            <w:r>
              <w:rPr>
                <w:rFonts w:hint="eastAsia" w:ascii="Times New Roman" w:hAnsi="Times New Roman" w:eastAsia="宋体" w:cs="Times New Roman"/>
                <w:smallCaps/>
                <w:color w:val="auto"/>
                <w:sz w:val="21"/>
                <w:szCs w:val="21"/>
                <w:highlight w:val="none"/>
                <w:lang w:val="en-US" w:eastAsia="zh-CN"/>
              </w:rPr>
              <w:t>预处理后与其他工艺废气一起进入水洗塔</w:t>
            </w:r>
            <w:r>
              <w:rPr>
                <w:rFonts w:hint="default" w:ascii="Times New Roman" w:hAnsi="Times New Roman" w:eastAsia="宋体" w:cs="Times New Roman"/>
                <w:smallCaps/>
                <w:color w:val="auto"/>
                <w:sz w:val="21"/>
                <w:szCs w:val="21"/>
                <w:highlight w:val="none"/>
                <w:lang w:val="en-US" w:eastAsia="zh-CN"/>
              </w:rPr>
              <w:t>处理</w:t>
            </w:r>
            <w:r>
              <w:rPr>
                <w:rFonts w:hint="eastAsia" w:ascii="Times New Roman" w:hAnsi="Times New Roman" w:eastAsia="宋体" w:cs="Times New Roman"/>
                <w:smallCaps/>
                <w:color w:val="auto"/>
                <w:sz w:val="21"/>
                <w:szCs w:val="21"/>
                <w:highlight w:val="none"/>
                <w:lang w:val="en-US" w:eastAsia="zh-CN"/>
              </w:rPr>
              <w:t>。</w:t>
            </w:r>
          </w:p>
        </w:tc>
        <w:tc>
          <w:tcPr>
            <w:tcW w:w="1034" w:type="pct"/>
            <w:noWrap w:val="0"/>
            <w:vAlign w:val="center"/>
          </w:tcPr>
          <w:p w14:paraId="0F00D641">
            <w:pPr>
              <w:pStyle w:val="13"/>
              <w:keepNext w:val="0"/>
              <w:keepLines w:val="0"/>
              <w:pageBreakBefore w:val="0"/>
              <w:widowControl w:val="0"/>
              <w:tabs>
                <w:tab w:val="right" w:leader="dot" w:pos="9457"/>
              </w:tabs>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smallCaps/>
                <w:color w:val="auto"/>
                <w:sz w:val="21"/>
                <w:szCs w:val="21"/>
                <w:highlight w:val="none"/>
                <w:lang w:val="en-US" w:eastAsia="zh-CN"/>
              </w:rPr>
            </w:pPr>
            <w:r>
              <w:rPr>
                <w:rFonts w:hint="eastAsia" w:ascii="Times New Roman" w:hAnsi="Times New Roman" w:eastAsia="宋体" w:cs="Times New Roman"/>
                <w:smallCaps/>
                <w:color w:val="auto"/>
                <w:sz w:val="21"/>
                <w:szCs w:val="21"/>
                <w:highlight w:val="none"/>
                <w:lang w:val="en-US" w:eastAsia="zh-CN"/>
              </w:rPr>
              <w:t>（2）破碎、搅拌设备均为密闭连通设备，搅拌废气随物料一起进入挤压造粒系统，作为挤压造粒工艺原料。</w:t>
            </w:r>
          </w:p>
        </w:tc>
        <w:tc>
          <w:tcPr>
            <w:tcW w:w="418" w:type="pct"/>
            <w:noWrap w:val="0"/>
            <w:vAlign w:val="center"/>
          </w:tcPr>
          <w:p w14:paraId="30D4963B">
            <w:pPr>
              <w:pStyle w:val="13"/>
              <w:keepNext w:val="0"/>
              <w:keepLines w:val="0"/>
              <w:pageBreakBefore w:val="0"/>
              <w:widowControl w:val="0"/>
              <w:tabs>
                <w:tab w:val="right" w:leader="dot" w:pos="9457"/>
              </w:tabs>
              <w:kinsoku/>
              <w:wordWrap/>
              <w:overflowPunct/>
              <w:topLinePunct w:val="0"/>
              <w:autoSpaceDE/>
              <w:autoSpaceDN/>
              <w:bidi w:val="0"/>
              <w:adjustRightInd/>
              <w:snapToGrid/>
              <w:ind w:left="0" w:leftChars="0" w:firstLine="0" w:firstLineChars="0"/>
              <w:jc w:val="center"/>
              <w:textAlignment w:val="auto"/>
              <w:rPr>
                <w:rFonts w:hint="default"/>
                <w:highlight w:val="none"/>
                <w:lang w:val="en-US" w:eastAsia="zh-CN"/>
              </w:rPr>
            </w:pPr>
            <w:r>
              <w:rPr>
                <w:rFonts w:hint="eastAsia" w:ascii="Times New Roman" w:hAnsi="Times New Roman" w:eastAsia="宋体" w:cs="Times New Roman"/>
                <w:smallCaps/>
                <w:color w:val="auto"/>
                <w:sz w:val="21"/>
                <w:szCs w:val="21"/>
                <w:highlight w:val="none"/>
                <w:lang w:val="en-US" w:eastAsia="zh-CN"/>
              </w:rPr>
              <w:t>（2）影响变好。</w:t>
            </w:r>
          </w:p>
        </w:tc>
        <w:tc>
          <w:tcPr>
            <w:tcW w:w="417" w:type="pct"/>
            <w:noWrap w:val="0"/>
            <w:vAlign w:val="center"/>
          </w:tcPr>
          <w:p w14:paraId="733D5C6C">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不属于</w:t>
            </w:r>
          </w:p>
        </w:tc>
      </w:tr>
      <w:tr w14:paraId="433CD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3" w:type="pct"/>
            <w:vMerge w:val="continue"/>
            <w:noWrap w:val="0"/>
            <w:vAlign w:val="center"/>
          </w:tcPr>
          <w:p w14:paraId="1E47CC2E">
            <w:pPr>
              <w:pStyle w:val="13"/>
              <w:keepNext w:val="0"/>
              <w:keepLines w:val="0"/>
              <w:pageBreakBefore w:val="0"/>
              <w:widowControl w:val="0"/>
              <w:tabs>
                <w:tab w:val="right" w:leader="dot" w:pos="9457"/>
              </w:tabs>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smallCaps/>
                <w:color w:val="auto"/>
                <w:sz w:val="21"/>
                <w:szCs w:val="21"/>
                <w:highlight w:val="none"/>
                <w:lang w:val="en-US" w:eastAsia="zh-CN"/>
              </w:rPr>
            </w:pPr>
          </w:p>
        </w:tc>
        <w:tc>
          <w:tcPr>
            <w:tcW w:w="1984" w:type="pct"/>
            <w:vMerge w:val="continue"/>
            <w:noWrap w:val="0"/>
            <w:vAlign w:val="center"/>
          </w:tcPr>
          <w:p w14:paraId="22F846F4">
            <w:pPr>
              <w:pStyle w:val="13"/>
              <w:keepNext w:val="0"/>
              <w:keepLines w:val="0"/>
              <w:pageBreakBefore w:val="0"/>
              <w:widowControl w:val="0"/>
              <w:tabs>
                <w:tab w:val="right" w:leader="dot" w:pos="9457"/>
              </w:tabs>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smallCaps/>
                <w:color w:val="auto"/>
                <w:sz w:val="21"/>
                <w:szCs w:val="21"/>
                <w:highlight w:val="none"/>
                <w:lang w:val="en-US" w:eastAsia="zh-CN"/>
              </w:rPr>
            </w:pPr>
          </w:p>
        </w:tc>
        <w:tc>
          <w:tcPr>
            <w:tcW w:w="941" w:type="pct"/>
            <w:noWrap w:val="0"/>
            <w:vAlign w:val="center"/>
          </w:tcPr>
          <w:p w14:paraId="1D6C7247">
            <w:pPr>
              <w:pStyle w:val="13"/>
              <w:keepNext w:val="0"/>
              <w:keepLines w:val="0"/>
              <w:pageBreakBefore w:val="0"/>
              <w:widowControl w:val="0"/>
              <w:tabs>
                <w:tab w:val="right" w:leader="dot" w:pos="9457"/>
              </w:tabs>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宋体" w:cs="Times New Roman"/>
                <w:smallCaps/>
                <w:color w:val="auto"/>
                <w:sz w:val="21"/>
                <w:szCs w:val="21"/>
                <w:highlight w:val="none"/>
                <w:lang w:val="en-US" w:eastAsia="zh-CN"/>
              </w:rPr>
            </w:pPr>
            <w:r>
              <w:rPr>
                <w:rFonts w:hint="eastAsia" w:ascii="Times New Roman" w:hAnsi="Times New Roman" w:eastAsia="宋体" w:cs="Times New Roman"/>
                <w:smallCaps/>
                <w:color w:val="auto"/>
                <w:sz w:val="21"/>
                <w:szCs w:val="21"/>
                <w:highlight w:val="none"/>
                <w:lang w:val="en-US" w:eastAsia="zh-CN"/>
              </w:rPr>
              <w:t>（3）</w:t>
            </w:r>
            <w:r>
              <w:rPr>
                <w:rFonts w:hint="default" w:ascii="Times New Roman" w:hAnsi="Times New Roman" w:eastAsia="宋体" w:cs="Times New Roman"/>
                <w:smallCaps/>
                <w:color w:val="auto"/>
                <w:sz w:val="21"/>
                <w:szCs w:val="21"/>
                <w:highlight w:val="none"/>
                <w:lang w:val="en-US" w:eastAsia="zh-CN"/>
              </w:rPr>
              <w:t>挤压造粒废气收集后经1套</w:t>
            </w:r>
            <w:r>
              <w:rPr>
                <w:rFonts w:hint="eastAsia" w:ascii="Times New Roman" w:hAnsi="Times New Roman" w:eastAsia="宋体" w:cs="Times New Roman"/>
                <w:smallCaps/>
                <w:color w:val="auto"/>
                <w:sz w:val="21"/>
                <w:szCs w:val="21"/>
                <w:highlight w:val="none"/>
                <w:lang w:val="en-US" w:eastAsia="zh-CN"/>
              </w:rPr>
              <w:t>“</w:t>
            </w:r>
            <w:r>
              <w:rPr>
                <w:rFonts w:hint="default" w:ascii="Times New Roman" w:hAnsi="Times New Roman" w:eastAsia="宋体" w:cs="Times New Roman"/>
                <w:smallCaps/>
                <w:color w:val="auto"/>
                <w:sz w:val="21"/>
                <w:szCs w:val="21"/>
                <w:highlight w:val="none"/>
                <w:lang w:val="en-US" w:eastAsia="zh-CN"/>
              </w:rPr>
              <w:t>脉冲布袋除尘器”</w:t>
            </w:r>
            <w:r>
              <w:rPr>
                <w:rFonts w:hint="eastAsia" w:ascii="Times New Roman" w:hAnsi="Times New Roman" w:eastAsia="宋体" w:cs="Times New Roman"/>
                <w:smallCaps/>
                <w:color w:val="auto"/>
                <w:sz w:val="21"/>
                <w:szCs w:val="21"/>
                <w:highlight w:val="none"/>
                <w:lang w:val="en-US" w:eastAsia="zh-CN"/>
              </w:rPr>
              <w:t>预</w:t>
            </w:r>
            <w:r>
              <w:rPr>
                <w:rFonts w:hint="default" w:ascii="Times New Roman" w:hAnsi="Times New Roman" w:eastAsia="宋体" w:cs="Times New Roman"/>
                <w:smallCaps/>
                <w:color w:val="auto"/>
                <w:sz w:val="21"/>
                <w:szCs w:val="21"/>
                <w:highlight w:val="none"/>
                <w:lang w:val="en-US" w:eastAsia="zh-CN"/>
              </w:rPr>
              <w:t>处理</w:t>
            </w:r>
            <w:r>
              <w:rPr>
                <w:rFonts w:hint="eastAsia" w:ascii="Times New Roman" w:hAnsi="Times New Roman" w:eastAsia="宋体" w:cs="Times New Roman"/>
                <w:smallCaps/>
                <w:color w:val="auto"/>
                <w:sz w:val="21"/>
                <w:szCs w:val="21"/>
                <w:highlight w:val="none"/>
                <w:lang w:val="en-US" w:eastAsia="zh-CN"/>
              </w:rPr>
              <w:t>后与其他工艺废气一起进入水洗塔</w:t>
            </w:r>
            <w:r>
              <w:rPr>
                <w:rFonts w:hint="default" w:ascii="Times New Roman" w:hAnsi="Times New Roman" w:eastAsia="宋体" w:cs="Times New Roman"/>
                <w:smallCaps/>
                <w:color w:val="auto"/>
                <w:sz w:val="21"/>
                <w:szCs w:val="21"/>
                <w:highlight w:val="none"/>
                <w:lang w:val="en-US" w:eastAsia="zh-CN"/>
              </w:rPr>
              <w:t>处理</w:t>
            </w:r>
            <w:r>
              <w:rPr>
                <w:rFonts w:hint="eastAsia" w:ascii="Times New Roman" w:hAnsi="Times New Roman" w:eastAsia="宋体" w:cs="Times New Roman"/>
                <w:smallCaps/>
                <w:color w:val="auto"/>
                <w:sz w:val="21"/>
                <w:szCs w:val="21"/>
                <w:highlight w:val="none"/>
                <w:lang w:val="en-US" w:eastAsia="zh-CN"/>
              </w:rPr>
              <w:t>。</w:t>
            </w:r>
          </w:p>
        </w:tc>
        <w:tc>
          <w:tcPr>
            <w:tcW w:w="1034" w:type="pct"/>
            <w:noWrap w:val="0"/>
            <w:vAlign w:val="center"/>
          </w:tcPr>
          <w:p w14:paraId="78E476F4">
            <w:pPr>
              <w:pStyle w:val="13"/>
              <w:keepNext w:val="0"/>
              <w:keepLines w:val="0"/>
              <w:pageBreakBefore w:val="0"/>
              <w:widowControl w:val="0"/>
              <w:tabs>
                <w:tab w:val="right" w:leader="dot" w:pos="9457"/>
              </w:tabs>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宋体" w:cs="Times New Roman"/>
                <w:smallCaps/>
                <w:color w:val="auto"/>
                <w:sz w:val="21"/>
                <w:szCs w:val="21"/>
                <w:highlight w:val="none"/>
                <w:lang w:val="en-US" w:eastAsia="zh-CN"/>
              </w:rPr>
            </w:pPr>
            <w:r>
              <w:rPr>
                <w:rFonts w:hint="default" w:ascii="Times New Roman" w:hAnsi="Times New Roman" w:eastAsia="宋体" w:cs="Times New Roman"/>
                <w:smallCaps/>
                <w:color w:val="auto"/>
                <w:sz w:val="21"/>
                <w:szCs w:val="21"/>
                <w:highlight w:val="none"/>
                <w:lang w:val="en-US" w:eastAsia="zh-CN"/>
              </w:rPr>
              <w:t>挤压造粒废气收集后经1套</w:t>
            </w:r>
            <w:r>
              <w:rPr>
                <w:rFonts w:hint="eastAsia" w:ascii="Times New Roman" w:hAnsi="Times New Roman" w:eastAsia="宋体" w:cs="Times New Roman"/>
                <w:smallCaps/>
                <w:color w:val="auto"/>
                <w:sz w:val="21"/>
                <w:szCs w:val="21"/>
                <w:highlight w:val="none"/>
                <w:lang w:val="en-US" w:eastAsia="zh-CN"/>
              </w:rPr>
              <w:t>“</w:t>
            </w:r>
            <w:r>
              <w:rPr>
                <w:rFonts w:hint="default" w:ascii="Times New Roman" w:hAnsi="Times New Roman" w:eastAsia="宋体" w:cs="Times New Roman"/>
                <w:smallCaps/>
                <w:color w:val="auto"/>
                <w:sz w:val="21"/>
                <w:szCs w:val="21"/>
                <w:highlight w:val="none"/>
                <w:lang w:val="en-US" w:eastAsia="zh-CN"/>
              </w:rPr>
              <w:t>脉冲布袋除尘器</w:t>
            </w:r>
            <w:r>
              <w:rPr>
                <w:rFonts w:hint="eastAsia" w:ascii="Times New Roman" w:hAnsi="Times New Roman" w:eastAsia="宋体" w:cs="Times New Roman"/>
                <w:smallCaps/>
                <w:color w:val="auto"/>
                <w:sz w:val="21"/>
                <w:szCs w:val="21"/>
                <w:highlight w:val="none"/>
                <w:lang w:val="en-US" w:eastAsia="zh-CN"/>
              </w:rPr>
              <w:t>+重力沉降室</w:t>
            </w:r>
            <w:r>
              <w:rPr>
                <w:rFonts w:hint="default" w:ascii="Times New Roman" w:hAnsi="Times New Roman" w:eastAsia="宋体" w:cs="Times New Roman"/>
                <w:smallCaps/>
                <w:color w:val="auto"/>
                <w:sz w:val="21"/>
                <w:szCs w:val="21"/>
                <w:highlight w:val="none"/>
                <w:lang w:val="en-US" w:eastAsia="zh-CN"/>
              </w:rPr>
              <w:t>”</w:t>
            </w:r>
            <w:r>
              <w:rPr>
                <w:rFonts w:hint="eastAsia" w:ascii="Times New Roman" w:hAnsi="Times New Roman" w:eastAsia="宋体" w:cs="Times New Roman"/>
                <w:smallCaps/>
                <w:color w:val="auto"/>
                <w:sz w:val="21"/>
                <w:szCs w:val="21"/>
                <w:highlight w:val="none"/>
                <w:lang w:val="en-US" w:eastAsia="zh-CN"/>
              </w:rPr>
              <w:t>预</w:t>
            </w:r>
            <w:r>
              <w:rPr>
                <w:rFonts w:hint="default" w:ascii="Times New Roman" w:hAnsi="Times New Roman" w:eastAsia="宋体" w:cs="Times New Roman"/>
                <w:smallCaps/>
                <w:color w:val="auto"/>
                <w:sz w:val="21"/>
                <w:szCs w:val="21"/>
                <w:highlight w:val="none"/>
                <w:lang w:val="en-US" w:eastAsia="zh-CN"/>
              </w:rPr>
              <w:t>处理</w:t>
            </w:r>
            <w:r>
              <w:rPr>
                <w:rFonts w:hint="eastAsia" w:ascii="Times New Roman" w:hAnsi="Times New Roman" w:eastAsia="宋体" w:cs="Times New Roman"/>
                <w:smallCaps/>
                <w:color w:val="auto"/>
                <w:sz w:val="21"/>
                <w:szCs w:val="21"/>
                <w:highlight w:val="none"/>
                <w:lang w:val="en-US" w:eastAsia="zh-CN"/>
              </w:rPr>
              <w:t>后与其他工艺废气一起进入水洗塔</w:t>
            </w:r>
            <w:r>
              <w:rPr>
                <w:rFonts w:hint="default" w:ascii="Times New Roman" w:hAnsi="Times New Roman" w:eastAsia="宋体" w:cs="Times New Roman"/>
                <w:smallCaps/>
                <w:color w:val="auto"/>
                <w:sz w:val="21"/>
                <w:szCs w:val="21"/>
                <w:highlight w:val="none"/>
                <w:lang w:val="en-US" w:eastAsia="zh-CN"/>
              </w:rPr>
              <w:t>处理</w:t>
            </w:r>
            <w:r>
              <w:rPr>
                <w:rFonts w:hint="eastAsia" w:ascii="Times New Roman" w:hAnsi="Times New Roman" w:eastAsia="宋体" w:cs="Times New Roman"/>
                <w:smallCaps/>
                <w:color w:val="auto"/>
                <w:sz w:val="21"/>
                <w:szCs w:val="21"/>
                <w:highlight w:val="none"/>
                <w:lang w:val="en-US" w:eastAsia="zh-CN"/>
              </w:rPr>
              <w:t>。</w:t>
            </w:r>
          </w:p>
        </w:tc>
        <w:tc>
          <w:tcPr>
            <w:tcW w:w="418" w:type="pct"/>
            <w:shd w:val="clear" w:color="auto" w:fill="auto"/>
            <w:noWrap w:val="0"/>
            <w:vAlign w:val="center"/>
          </w:tcPr>
          <w:p w14:paraId="64B57CEC">
            <w:pPr>
              <w:pStyle w:val="13"/>
              <w:keepNext w:val="0"/>
              <w:keepLines w:val="0"/>
              <w:pageBreakBefore w:val="0"/>
              <w:widowControl w:val="0"/>
              <w:tabs>
                <w:tab w:val="right" w:leader="dot" w:pos="9457"/>
              </w:tabs>
              <w:kinsoku/>
              <w:wordWrap/>
              <w:overflowPunct/>
              <w:topLinePunct w:val="0"/>
              <w:autoSpaceDE/>
              <w:autoSpaceDN/>
              <w:bidi w:val="0"/>
              <w:adjustRightInd/>
              <w:snapToGrid/>
              <w:ind w:left="0" w:leftChars="0" w:firstLine="0" w:firstLineChars="0"/>
              <w:jc w:val="center"/>
              <w:textAlignment w:val="auto"/>
              <w:rPr>
                <w:rFonts w:hint="eastAsia" w:asciiTheme="minorHAnsi" w:hAnsiTheme="minorHAnsi" w:eastAsiaTheme="minorEastAsia" w:cstheme="minorBidi"/>
                <w:kern w:val="2"/>
                <w:sz w:val="21"/>
                <w:szCs w:val="24"/>
                <w:highlight w:val="none"/>
                <w:lang w:val="en-US" w:eastAsia="zh-CN" w:bidi="ar-SA"/>
              </w:rPr>
            </w:pPr>
            <w:r>
              <w:rPr>
                <w:rFonts w:hint="eastAsia" w:ascii="Times New Roman" w:hAnsi="Times New Roman" w:eastAsia="宋体" w:cs="Times New Roman"/>
                <w:smallCaps/>
                <w:color w:val="auto"/>
                <w:sz w:val="21"/>
                <w:szCs w:val="21"/>
                <w:highlight w:val="none"/>
                <w:lang w:val="en-US" w:eastAsia="zh-CN"/>
              </w:rPr>
              <w:t>（2）影响变好。</w:t>
            </w:r>
          </w:p>
        </w:tc>
        <w:tc>
          <w:tcPr>
            <w:tcW w:w="417" w:type="pct"/>
            <w:shd w:val="clear" w:color="auto" w:fill="auto"/>
            <w:noWrap w:val="0"/>
            <w:vAlign w:val="center"/>
          </w:tcPr>
          <w:p w14:paraId="0C20DA9D">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不属于</w:t>
            </w:r>
          </w:p>
        </w:tc>
      </w:tr>
      <w:tr w14:paraId="091AF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3" w:type="pct"/>
            <w:vMerge w:val="continue"/>
            <w:noWrap w:val="0"/>
            <w:vAlign w:val="center"/>
          </w:tcPr>
          <w:p w14:paraId="70DE74D7">
            <w:pPr>
              <w:pStyle w:val="13"/>
              <w:keepNext w:val="0"/>
              <w:keepLines w:val="0"/>
              <w:pageBreakBefore w:val="0"/>
              <w:widowControl w:val="0"/>
              <w:tabs>
                <w:tab w:val="right" w:leader="dot" w:pos="9457"/>
              </w:tabs>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smallCaps/>
                <w:color w:val="auto"/>
                <w:sz w:val="21"/>
                <w:szCs w:val="21"/>
                <w:highlight w:val="none"/>
                <w:lang w:val="en-US" w:eastAsia="zh-CN"/>
              </w:rPr>
            </w:pPr>
          </w:p>
        </w:tc>
        <w:tc>
          <w:tcPr>
            <w:tcW w:w="1984" w:type="pct"/>
            <w:vMerge w:val="continue"/>
            <w:noWrap w:val="0"/>
            <w:vAlign w:val="center"/>
          </w:tcPr>
          <w:p w14:paraId="73DC0A43">
            <w:pPr>
              <w:pStyle w:val="13"/>
              <w:keepNext w:val="0"/>
              <w:keepLines w:val="0"/>
              <w:pageBreakBefore w:val="0"/>
              <w:widowControl w:val="0"/>
              <w:tabs>
                <w:tab w:val="right" w:leader="dot" w:pos="9457"/>
              </w:tabs>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smallCaps/>
                <w:color w:val="auto"/>
                <w:sz w:val="21"/>
                <w:szCs w:val="21"/>
                <w:highlight w:val="none"/>
                <w:lang w:val="en-US" w:eastAsia="zh-CN"/>
              </w:rPr>
            </w:pPr>
          </w:p>
        </w:tc>
        <w:tc>
          <w:tcPr>
            <w:tcW w:w="941" w:type="pct"/>
            <w:noWrap w:val="0"/>
            <w:vAlign w:val="center"/>
          </w:tcPr>
          <w:p w14:paraId="7E4D46E1">
            <w:pPr>
              <w:pStyle w:val="13"/>
              <w:keepNext w:val="0"/>
              <w:keepLines w:val="0"/>
              <w:pageBreakBefore w:val="0"/>
              <w:widowControl w:val="0"/>
              <w:tabs>
                <w:tab w:val="right" w:leader="dot" w:pos="9457"/>
              </w:tabs>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宋体" w:cs="Times New Roman"/>
                <w:smallCaps/>
                <w:color w:val="auto"/>
                <w:sz w:val="21"/>
                <w:szCs w:val="21"/>
                <w:highlight w:val="none"/>
                <w:lang w:val="en-US" w:eastAsia="zh-CN"/>
              </w:rPr>
            </w:pPr>
            <w:r>
              <w:rPr>
                <w:rFonts w:hint="eastAsia" w:ascii="Times New Roman" w:hAnsi="Times New Roman" w:eastAsia="宋体" w:cs="Times New Roman"/>
                <w:smallCaps/>
                <w:color w:val="auto"/>
                <w:sz w:val="21"/>
                <w:szCs w:val="21"/>
                <w:highlight w:val="none"/>
                <w:lang w:val="en-US" w:eastAsia="zh-CN"/>
              </w:rPr>
              <w:t>（4）</w:t>
            </w:r>
            <w:r>
              <w:rPr>
                <w:rFonts w:hint="default" w:ascii="Times New Roman" w:hAnsi="Times New Roman" w:eastAsia="宋体" w:cs="Times New Roman"/>
                <w:smallCaps/>
                <w:color w:val="auto"/>
                <w:sz w:val="21"/>
                <w:szCs w:val="21"/>
                <w:highlight w:val="none"/>
                <w:lang w:val="en-US" w:eastAsia="zh-CN"/>
              </w:rPr>
              <w:t>筛分、包膜、包装过程废气收集后经1套“旋风除尘+重力沉降室”</w:t>
            </w:r>
            <w:r>
              <w:rPr>
                <w:rFonts w:hint="eastAsia" w:ascii="Times New Roman" w:hAnsi="Times New Roman" w:eastAsia="宋体" w:cs="Times New Roman"/>
                <w:smallCaps/>
                <w:color w:val="auto"/>
                <w:sz w:val="21"/>
                <w:szCs w:val="21"/>
                <w:highlight w:val="none"/>
                <w:lang w:val="en-US" w:eastAsia="zh-CN"/>
              </w:rPr>
              <w:t>预</w:t>
            </w:r>
            <w:r>
              <w:rPr>
                <w:rFonts w:hint="default" w:ascii="Times New Roman" w:hAnsi="Times New Roman" w:eastAsia="宋体" w:cs="Times New Roman"/>
                <w:smallCaps/>
                <w:color w:val="auto"/>
                <w:sz w:val="21"/>
                <w:szCs w:val="21"/>
                <w:highlight w:val="none"/>
                <w:lang w:val="en-US" w:eastAsia="zh-CN"/>
              </w:rPr>
              <w:t>处理，</w:t>
            </w:r>
            <w:r>
              <w:rPr>
                <w:rFonts w:hint="eastAsia" w:ascii="Times New Roman" w:hAnsi="Times New Roman" w:eastAsia="宋体" w:cs="Times New Roman"/>
                <w:smallCaps/>
                <w:color w:val="auto"/>
                <w:sz w:val="21"/>
                <w:szCs w:val="21"/>
                <w:highlight w:val="none"/>
                <w:lang w:val="en-US" w:eastAsia="zh-CN"/>
              </w:rPr>
              <w:t>冷却废气</w:t>
            </w:r>
            <w:r>
              <w:rPr>
                <w:rFonts w:hint="default" w:ascii="Times New Roman" w:hAnsi="Times New Roman" w:eastAsia="宋体" w:cs="Times New Roman"/>
                <w:smallCaps/>
                <w:color w:val="auto"/>
                <w:sz w:val="21"/>
                <w:szCs w:val="21"/>
                <w:highlight w:val="none"/>
                <w:lang w:val="en-US" w:eastAsia="zh-CN"/>
              </w:rPr>
              <w:t>收集后经1套“旋风除尘+重力沉降室”</w:t>
            </w:r>
            <w:r>
              <w:rPr>
                <w:rFonts w:hint="eastAsia" w:ascii="Times New Roman" w:hAnsi="Times New Roman" w:eastAsia="宋体" w:cs="Times New Roman"/>
                <w:smallCaps/>
                <w:color w:val="auto"/>
                <w:sz w:val="21"/>
                <w:szCs w:val="21"/>
                <w:highlight w:val="none"/>
                <w:lang w:val="en-US" w:eastAsia="zh-CN"/>
              </w:rPr>
              <w:t>预</w:t>
            </w:r>
            <w:r>
              <w:rPr>
                <w:rFonts w:hint="default" w:ascii="Times New Roman" w:hAnsi="Times New Roman" w:eastAsia="宋体" w:cs="Times New Roman"/>
                <w:smallCaps/>
                <w:color w:val="auto"/>
                <w:sz w:val="21"/>
                <w:szCs w:val="21"/>
                <w:highlight w:val="none"/>
                <w:lang w:val="en-US" w:eastAsia="zh-CN"/>
              </w:rPr>
              <w:t>处理，</w:t>
            </w:r>
            <w:r>
              <w:rPr>
                <w:rFonts w:hint="eastAsia" w:ascii="Times New Roman" w:hAnsi="Times New Roman" w:eastAsia="宋体" w:cs="Times New Roman"/>
                <w:smallCaps/>
                <w:color w:val="auto"/>
                <w:sz w:val="21"/>
                <w:szCs w:val="21"/>
                <w:highlight w:val="none"/>
                <w:lang w:val="en-US" w:eastAsia="zh-CN"/>
              </w:rPr>
              <w:t>废气经预处理后与其他工艺废气一起进入水洗塔</w:t>
            </w:r>
            <w:r>
              <w:rPr>
                <w:rFonts w:hint="default" w:ascii="Times New Roman" w:hAnsi="Times New Roman" w:eastAsia="宋体" w:cs="Times New Roman"/>
                <w:smallCaps/>
                <w:color w:val="auto"/>
                <w:sz w:val="21"/>
                <w:szCs w:val="21"/>
                <w:highlight w:val="none"/>
                <w:lang w:val="en-US" w:eastAsia="zh-CN"/>
              </w:rPr>
              <w:t>处理</w:t>
            </w:r>
            <w:r>
              <w:rPr>
                <w:rFonts w:hint="eastAsia" w:ascii="Times New Roman" w:hAnsi="Times New Roman" w:eastAsia="宋体" w:cs="Times New Roman"/>
                <w:smallCaps/>
                <w:color w:val="auto"/>
                <w:sz w:val="21"/>
                <w:szCs w:val="21"/>
                <w:highlight w:val="none"/>
                <w:lang w:val="en-US" w:eastAsia="zh-CN"/>
              </w:rPr>
              <w:t>。</w:t>
            </w:r>
          </w:p>
        </w:tc>
        <w:tc>
          <w:tcPr>
            <w:tcW w:w="1034" w:type="pct"/>
            <w:noWrap w:val="0"/>
            <w:vAlign w:val="center"/>
          </w:tcPr>
          <w:p w14:paraId="2208433A">
            <w:pPr>
              <w:pStyle w:val="13"/>
              <w:keepNext w:val="0"/>
              <w:keepLines w:val="0"/>
              <w:pageBreakBefore w:val="0"/>
              <w:widowControl w:val="0"/>
              <w:tabs>
                <w:tab w:val="right" w:leader="dot" w:pos="9457"/>
              </w:tabs>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smallCaps/>
                <w:color w:val="auto"/>
                <w:sz w:val="21"/>
                <w:szCs w:val="21"/>
                <w:highlight w:val="none"/>
                <w:lang w:val="en-US" w:eastAsia="zh-CN"/>
              </w:rPr>
            </w:pPr>
            <w:r>
              <w:rPr>
                <w:rFonts w:hint="eastAsia" w:ascii="Times New Roman" w:hAnsi="Times New Roman" w:eastAsia="宋体" w:cs="Times New Roman"/>
                <w:smallCaps/>
                <w:color w:val="auto"/>
                <w:sz w:val="21"/>
                <w:szCs w:val="21"/>
                <w:highlight w:val="none"/>
                <w:lang w:val="en-US" w:eastAsia="zh-CN"/>
              </w:rPr>
              <w:t>（4）冷却、</w:t>
            </w:r>
            <w:r>
              <w:rPr>
                <w:rFonts w:hint="default" w:ascii="Times New Roman" w:hAnsi="Times New Roman" w:eastAsia="宋体" w:cs="Times New Roman"/>
                <w:smallCaps/>
                <w:color w:val="auto"/>
                <w:sz w:val="21"/>
                <w:szCs w:val="21"/>
                <w:highlight w:val="none"/>
                <w:lang w:val="en-US" w:eastAsia="zh-CN"/>
              </w:rPr>
              <w:t>筛分、包膜、包装过程废气收集后</w:t>
            </w:r>
            <w:r>
              <w:rPr>
                <w:rFonts w:hint="eastAsia" w:ascii="Times New Roman" w:hAnsi="Times New Roman" w:eastAsia="宋体" w:cs="Times New Roman"/>
                <w:smallCaps/>
                <w:color w:val="auto"/>
                <w:sz w:val="21"/>
                <w:szCs w:val="21"/>
                <w:highlight w:val="none"/>
                <w:lang w:val="en-US" w:eastAsia="zh-CN"/>
              </w:rPr>
              <w:t>一起</w:t>
            </w:r>
            <w:r>
              <w:rPr>
                <w:rFonts w:hint="default" w:ascii="Times New Roman" w:hAnsi="Times New Roman" w:eastAsia="宋体" w:cs="Times New Roman"/>
                <w:smallCaps/>
                <w:color w:val="auto"/>
                <w:sz w:val="21"/>
                <w:szCs w:val="21"/>
                <w:highlight w:val="none"/>
                <w:lang w:val="en-US" w:eastAsia="zh-CN"/>
              </w:rPr>
              <w:t>经1套“旋风除尘+重力沉降室”</w:t>
            </w:r>
            <w:r>
              <w:rPr>
                <w:rFonts w:hint="eastAsia" w:ascii="Times New Roman" w:hAnsi="Times New Roman" w:eastAsia="宋体" w:cs="Times New Roman"/>
                <w:smallCaps/>
                <w:color w:val="auto"/>
                <w:sz w:val="21"/>
                <w:szCs w:val="21"/>
                <w:highlight w:val="none"/>
                <w:lang w:val="en-US" w:eastAsia="zh-CN"/>
              </w:rPr>
              <w:t>预</w:t>
            </w:r>
            <w:r>
              <w:rPr>
                <w:rFonts w:hint="default" w:ascii="Times New Roman" w:hAnsi="Times New Roman" w:eastAsia="宋体" w:cs="Times New Roman"/>
                <w:smallCaps/>
                <w:color w:val="auto"/>
                <w:sz w:val="21"/>
                <w:szCs w:val="21"/>
                <w:highlight w:val="none"/>
                <w:lang w:val="en-US" w:eastAsia="zh-CN"/>
              </w:rPr>
              <w:t>处理</w:t>
            </w:r>
            <w:r>
              <w:rPr>
                <w:rFonts w:hint="eastAsia" w:ascii="Times New Roman" w:hAnsi="Times New Roman" w:eastAsia="宋体" w:cs="Times New Roman"/>
                <w:smallCaps/>
                <w:color w:val="auto"/>
                <w:sz w:val="21"/>
                <w:szCs w:val="21"/>
                <w:highlight w:val="none"/>
                <w:lang w:val="en-US" w:eastAsia="zh-CN"/>
              </w:rPr>
              <w:t>后与其他工艺废气一起进入水洗塔</w:t>
            </w:r>
            <w:r>
              <w:rPr>
                <w:rFonts w:hint="default" w:ascii="Times New Roman" w:hAnsi="Times New Roman" w:eastAsia="宋体" w:cs="Times New Roman"/>
                <w:smallCaps/>
                <w:color w:val="auto"/>
                <w:sz w:val="21"/>
                <w:szCs w:val="21"/>
                <w:highlight w:val="none"/>
                <w:lang w:val="en-US" w:eastAsia="zh-CN"/>
              </w:rPr>
              <w:t>处理</w:t>
            </w:r>
            <w:r>
              <w:rPr>
                <w:rFonts w:hint="eastAsia" w:ascii="Times New Roman" w:hAnsi="Times New Roman" w:eastAsia="宋体" w:cs="Times New Roman"/>
                <w:smallCaps/>
                <w:color w:val="auto"/>
                <w:sz w:val="21"/>
                <w:szCs w:val="21"/>
                <w:highlight w:val="none"/>
                <w:lang w:val="en-US" w:eastAsia="zh-CN"/>
              </w:rPr>
              <w:t>。</w:t>
            </w:r>
          </w:p>
        </w:tc>
        <w:tc>
          <w:tcPr>
            <w:tcW w:w="418" w:type="pct"/>
            <w:noWrap w:val="0"/>
            <w:vAlign w:val="center"/>
          </w:tcPr>
          <w:p w14:paraId="5AC7F0CC">
            <w:pPr>
              <w:pStyle w:val="13"/>
              <w:keepNext w:val="0"/>
              <w:keepLines w:val="0"/>
              <w:pageBreakBefore w:val="0"/>
              <w:widowControl w:val="0"/>
              <w:tabs>
                <w:tab w:val="right" w:leader="dot" w:pos="9457"/>
              </w:tabs>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smallCaps/>
                <w:color w:val="auto"/>
                <w:sz w:val="21"/>
                <w:szCs w:val="21"/>
                <w:highlight w:val="none"/>
                <w:lang w:val="en-US" w:eastAsia="zh-CN"/>
              </w:rPr>
            </w:pPr>
            <w:r>
              <w:rPr>
                <w:rFonts w:hint="eastAsia" w:ascii="Times New Roman" w:hAnsi="Times New Roman" w:eastAsia="宋体" w:cs="Times New Roman"/>
                <w:smallCaps/>
                <w:color w:val="auto"/>
                <w:sz w:val="21"/>
                <w:szCs w:val="21"/>
                <w:highlight w:val="none"/>
                <w:lang w:val="en-US" w:eastAsia="zh-CN"/>
              </w:rPr>
              <w:t>（4）无影响。</w:t>
            </w:r>
          </w:p>
        </w:tc>
        <w:tc>
          <w:tcPr>
            <w:tcW w:w="417" w:type="pct"/>
            <w:noWrap w:val="0"/>
            <w:vAlign w:val="center"/>
          </w:tcPr>
          <w:p w14:paraId="5F2C96A4">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不属于</w:t>
            </w:r>
          </w:p>
        </w:tc>
      </w:tr>
      <w:tr w14:paraId="6D936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3" w:type="pct"/>
            <w:noWrap w:val="0"/>
            <w:vAlign w:val="center"/>
          </w:tcPr>
          <w:p w14:paraId="59A832E9">
            <w:pPr>
              <w:pStyle w:val="13"/>
              <w:keepNext w:val="0"/>
              <w:keepLines w:val="0"/>
              <w:pageBreakBefore w:val="0"/>
              <w:widowControl w:val="0"/>
              <w:tabs>
                <w:tab w:val="right" w:leader="dot" w:pos="9457"/>
              </w:tabs>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smallCaps/>
                <w:color w:val="auto"/>
                <w:sz w:val="21"/>
                <w:szCs w:val="21"/>
                <w:highlight w:val="none"/>
                <w:lang w:val="en-US" w:eastAsia="zh-CN"/>
              </w:rPr>
            </w:pPr>
            <w:r>
              <w:rPr>
                <w:rFonts w:hint="default" w:ascii="Times New Roman" w:hAnsi="Times New Roman" w:eastAsia="宋体" w:cs="Times New Roman"/>
                <w:smallCaps/>
                <w:color w:val="auto"/>
                <w:sz w:val="21"/>
                <w:szCs w:val="21"/>
                <w:highlight w:val="none"/>
                <w:lang w:val="en-US" w:eastAsia="zh-CN"/>
              </w:rPr>
              <w:t>9</w:t>
            </w:r>
          </w:p>
        </w:tc>
        <w:tc>
          <w:tcPr>
            <w:tcW w:w="1984" w:type="pct"/>
            <w:noWrap w:val="0"/>
            <w:vAlign w:val="center"/>
          </w:tcPr>
          <w:p w14:paraId="14C355C1">
            <w:pPr>
              <w:pStyle w:val="13"/>
              <w:keepNext w:val="0"/>
              <w:keepLines w:val="0"/>
              <w:pageBreakBefore w:val="0"/>
              <w:widowControl w:val="0"/>
              <w:tabs>
                <w:tab w:val="right" w:leader="dot" w:pos="9457"/>
              </w:tabs>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smallCaps/>
                <w:color w:val="auto"/>
                <w:sz w:val="21"/>
                <w:szCs w:val="21"/>
                <w:highlight w:val="none"/>
                <w:lang w:val="en-US" w:eastAsia="zh-CN"/>
              </w:rPr>
            </w:pPr>
            <w:r>
              <w:rPr>
                <w:rFonts w:hint="default" w:ascii="Times New Roman" w:hAnsi="Times New Roman" w:eastAsia="宋体" w:cs="Times New Roman"/>
                <w:smallCaps/>
                <w:color w:val="auto"/>
                <w:sz w:val="21"/>
                <w:szCs w:val="21"/>
                <w:highlight w:val="none"/>
                <w:lang w:val="en-US" w:eastAsia="zh-CN"/>
              </w:rPr>
              <w:t>新增废水直接排放口；废水由间接排放改为直接排放；废水直接排放口位置变化，导致不利环境影响加重的</w:t>
            </w:r>
          </w:p>
        </w:tc>
        <w:tc>
          <w:tcPr>
            <w:tcW w:w="1976" w:type="pct"/>
            <w:gridSpan w:val="2"/>
            <w:noWrap w:val="0"/>
            <w:vAlign w:val="center"/>
          </w:tcPr>
          <w:p w14:paraId="6E5B36D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企业废水仍为间接排放，未新增废水直接排放口</w:t>
            </w:r>
          </w:p>
        </w:tc>
        <w:tc>
          <w:tcPr>
            <w:tcW w:w="418" w:type="pct"/>
            <w:noWrap w:val="0"/>
            <w:vAlign w:val="center"/>
          </w:tcPr>
          <w:p w14:paraId="49720A50">
            <w:pPr>
              <w:pStyle w:val="13"/>
              <w:keepNext w:val="0"/>
              <w:keepLines w:val="0"/>
              <w:pageBreakBefore w:val="0"/>
              <w:widowControl w:val="0"/>
              <w:tabs>
                <w:tab w:val="right" w:leader="dot" w:pos="9457"/>
              </w:tabs>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cs="Times New Roman"/>
                <w:color w:val="auto"/>
                <w:highlight w:val="none"/>
                <w:lang w:val="en-US" w:eastAsia="zh-CN"/>
              </w:rPr>
            </w:pPr>
            <w:r>
              <w:rPr>
                <w:rFonts w:hint="eastAsia" w:ascii="Times New Roman" w:hAnsi="Times New Roman" w:eastAsia="宋体" w:cs="Times New Roman"/>
                <w:smallCaps/>
                <w:color w:val="auto"/>
                <w:sz w:val="21"/>
                <w:szCs w:val="21"/>
                <w:highlight w:val="none"/>
                <w:lang w:val="en-US" w:eastAsia="zh-CN"/>
              </w:rPr>
              <w:t>/</w:t>
            </w:r>
          </w:p>
        </w:tc>
        <w:tc>
          <w:tcPr>
            <w:tcW w:w="417" w:type="pct"/>
            <w:noWrap w:val="0"/>
            <w:vAlign w:val="center"/>
          </w:tcPr>
          <w:p w14:paraId="4A10A53F">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smallCaps/>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w:t>
            </w:r>
          </w:p>
        </w:tc>
      </w:tr>
      <w:tr w14:paraId="2F348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3" w:type="pct"/>
            <w:noWrap w:val="0"/>
            <w:vAlign w:val="center"/>
          </w:tcPr>
          <w:p w14:paraId="68AE2485">
            <w:pPr>
              <w:pStyle w:val="13"/>
              <w:keepNext w:val="0"/>
              <w:keepLines w:val="0"/>
              <w:pageBreakBefore w:val="0"/>
              <w:widowControl w:val="0"/>
              <w:tabs>
                <w:tab w:val="right" w:leader="dot" w:pos="9457"/>
              </w:tabs>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smallCaps/>
                <w:color w:val="auto"/>
                <w:sz w:val="21"/>
                <w:szCs w:val="21"/>
                <w:highlight w:val="none"/>
                <w:lang w:val="en-US" w:eastAsia="zh-CN"/>
              </w:rPr>
            </w:pPr>
            <w:r>
              <w:rPr>
                <w:rFonts w:hint="default" w:ascii="Times New Roman" w:hAnsi="Times New Roman" w:eastAsia="宋体" w:cs="Times New Roman"/>
                <w:smallCaps/>
                <w:color w:val="auto"/>
                <w:sz w:val="21"/>
                <w:szCs w:val="21"/>
                <w:highlight w:val="none"/>
                <w:lang w:val="en-US" w:eastAsia="zh-CN"/>
              </w:rPr>
              <w:t>10</w:t>
            </w:r>
          </w:p>
        </w:tc>
        <w:tc>
          <w:tcPr>
            <w:tcW w:w="1984" w:type="pct"/>
            <w:noWrap w:val="0"/>
            <w:vAlign w:val="center"/>
          </w:tcPr>
          <w:p w14:paraId="61273833">
            <w:pPr>
              <w:pStyle w:val="13"/>
              <w:keepNext w:val="0"/>
              <w:keepLines w:val="0"/>
              <w:pageBreakBefore w:val="0"/>
              <w:widowControl w:val="0"/>
              <w:tabs>
                <w:tab w:val="right" w:leader="dot" w:pos="9457"/>
              </w:tabs>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smallCaps/>
                <w:color w:val="auto"/>
                <w:sz w:val="21"/>
                <w:szCs w:val="21"/>
                <w:highlight w:val="none"/>
                <w:lang w:val="en-US" w:eastAsia="zh-CN"/>
              </w:rPr>
            </w:pPr>
            <w:r>
              <w:rPr>
                <w:rFonts w:hint="default" w:ascii="Times New Roman" w:hAnsi="Times New Roman" w:eastAsia="宋体" w:cs="Times New Roman"/>
                <w:smallCaps/>
                <w:color w:val="auto"/>
                <w:sz w:val="21"/>
                <w:szCs w:val="21"/>
                <w:highlight w:val="none"/>
                <w:lang w:val="en-US" w:eastAsia="zh-CN"/>
              </w:rPr>
              <w:t>新增废气主要排放口（废气无组织排放改为有组织排放的除外）；主要排放口排气筒高度降低10%及以上的</w:t>
            </w:r>
          </w:p>
        </w:tc>
        <w:tc>
          <w:tcPr>
            <w:tcW w:w="1976" w:type="pct"/>
            <w:gridSpan w:val="2"/>
            <w:noWrap w:val="0"/>
            <w:vAlign w:val="center"/>
          </w:tcPr>
          <w:p w14:paraId="32C50C45">
            <w:pPr>
              <w:pStyle w:val="13"/>
              <w:keepNext w:val="0"/>
              <w:keepLines w:val="0"/>
              <w:pageBreakBefore w:val="0"/>
              <w:widowControl w:val="0"/>
              <w:tabs>
                <w:tab w:val="right" w:leader="dot" w:pos="9457"/>
              </w:tabs>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项目废气主要排放口不变，主要排放口高度不变</w:t>
            </w:r>
          </w:p>
        </w:tc>
        <w:tc>
          <w:tcPr>
            <w:tcW w:w="418" w:type="pct"/>
            <w:shd w:val="clear" w:color="auto" w:fill="auto"/>
            <w:noWrap w:val="0"/>
            <w:vAlign w:val="center"/>
          </w:tcPr>
          <w:p w14:paraId="40024FC4">
            <w:pPr>
              <w:pStyle w:val="13"/>
              <w:keepNext w:val="0"/>
              <w:keepLines w:val="0"/>
              <w:pageBreakBefore w:val="0"/>
              <w:widowControl w:val="0"/>
              <w:tabs>
                <w:tab w:val="right" w:leader="dot" w:pos="9457"/>
              </w:tabs>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宋体" w:cs="Times New Roman"/>
                <w:smallCaps/>
                <w:color w:val="auto"/>
                <w:kern w:val="2"/>
                <w:sz w:val="21"/>
                <w:szCs w:val="21"/>
                <w:highlight w:val="none"/>
                <w:lang w:val="en-US" w:eastAsia="zh-CN" w:bidi="ar-SA"/>
              </w:rPr>
            </w:pPr>
            <w:r>
              <w:rPr>
                <w:rFonts w:hint="eastAsia" w:ascii="Times New Roman" w:hAnsi="Times New Roman" w:eastAsia="宋体" w:cs="Times New Roman"/>
                <w:smallCaps/>
                <w:color w:val="auto"/>
                <w:sz w:val="21"/>
                <w:szCs w:val="21"/>
                <w:highlight w:val="none"/>
                <w:lang w:val="en-US" w:eastAsia="zh-CN"/>
              </w:rPr>
              <w:t>/</w:t>
            </w:r>
          </w:p>
        </w:tc>
        <w:tc>
          <w:tcPr>
            <w:tcW w:w="417" w:type="pct"/>
            <w:shd w:val="clear" w:color="auto" w:fill="auto"/>
            <w:noWrap w:val="0"/>
            <w:vAlign w:val="center"/>
          </w:tcPr>
          <w:p w14:paraId="19EE1B71">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smallCaps/>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w:t>
            </w:r>
          </w:p>
        </w:tc>
      </w:tr>
      <w:tr w14:paraId="2F8EA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3" w:type="pct"/>
            <w:noWrap w:val="0"/>
            <w:vAlign w:val="center"/>
          </w:tcPr>
          <w:p w14:paraId="770D7FB1">
            <w:pPr>
              <w:pStyle w:val="13"/>
              <w:keepNext w:val="0"/>
              <w:keepLines w:val="0"/>
              <w:pageBreakBefore w:val="0"/>
              <w:widowControl w:val="0"/>
              <w:tabs>
                <w:tab w:val="right" w:leader="dot" w:pos="9457"/>
              </w:tabs>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smallCaps/>
                <w:color w:val="auto"/>
                <w:sz w:val="21"/>
                <w:szCs w:val="21"/>
                <w:highlight w:val="none"/>
                <w:lang w:val="en-US" w:eastAsia="zh-CN"/>
              </w:rPr>
            </w:pPr>
            <w:r>
              <w:rPr>
                <w:rFonts w:hint="default" w:ascii="Times New Roman" w:hAnsi="Times New Roman" w:eastAsia="宋体" w:cs="Times New Roman"/>
                <w:smallCaps/>
                <w:color w:val="auto"/>
                <w:sz w:val="21"/>
                <w:szCs w:val="21"/>
                <w:highlight w:val="none"/>
                <w:lang w:val="en-US" w:eastAsia="zh-CN"/>
              </w:rPr>
              <w:t>11</w:t>
            </w:r>
          </w:p>
        </w:tc>
        <w:tc>
          <w:tcPr>
            <w:tcW w:w="1984" w:type="pct"/>
            <w:noWrap w:val="0"/>
            <w:vAlign w:val="center"/>
          </w:tcPr>
          <w:p w14:paraId="3D451658">
            <w:pPr>
              <w:pStyle w:val="13"/>
              <w:keepNext w:val="0"/>
              <w:keepLines w:val="0"/>
              <w:pageBreakBefore w:val="0"/>
              <w:widowControl w:val="0"/>
              <w:tabs>
                <w:tab w:val="right" w:leader="dot" w:pos="9457"/>
              </w:tabs>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smallCaps/>
                <w:color w:val="auto"/>
                <w:sz w:val="21"/>
                <w:szCs w:val="21"/>
                <w:highlight w:val="none"/>
                <w:lang w:val="en-US" w:eastAsia="zh-CN"/>
              </w:rPr>
            </w:pPr>
            <w:r>
              <w:rPr>
                <w:rFonts w:hint="default" w:ascii="Times New Roman" w:hAnsi="Times New Roman" w:eastAsia="宋体" w:cs="Times New Roman"/>
                <w:smallCaps/>
                <w:color w:val="auto"/>
                <w:sz w:val="21"/>
                <w:szCs w:val="21"/>
                <w:highlight w:val="none"/>
                <w:lang w:val="en-US" w:eastAsia="zh-CN"/>
              </w:rPr>
              <w:t>噪声、土壤或地下水污染防治措施变化，导致不利环境影响加重的</w:t>
            </w:r>
          </w:p>
        </w:tc>
        <w:tc>
          <w:tcPr>
            <w:tcW w:w="1976" w:type="pct"/>
            <w:gridSpan w:val="2"/>
            <w:noWrap w:val="0"/>
            <w:vAlign w:val="center"/>
          </w:tcPr>
          <w:p w14:paraId="772AB85B">
            <w:pPr>
              <w:pStyle w:val="13"/>
              <w:keepNext w:val="0"/>
              <w:keepLines w:val="0"/>
              <w:pageBreakBefore w:val="0"/>
              <w:widowControl w:val="0"/>
              <w:tabs>
                <w:tab w:val="right" w:leader="dot" w:pos="9457"/>
              </w:tabs>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smallCaps/>
                <w:color w:val="auto"/>
                <w:sz w:val="21"/>
                <w:szCs w:val="21"/>
                <w:highlight w:val="none"/>
                <w:lang w:val="en-US" w:eastAsia="zh-CN"/>
              </w:rPr>
            </w:pPr>
            <w:r>
              <w:rPr>
                <w:rFonts w:hint="default" w:ascii="Times New Roman" w:hAnsi="Times New Roman" w:eastAsia="宋体" w:cs="Times New Roman"/>
                <w:smallCaps/>
                <w:color w:val="auto"/>
                <w:sz w:val="21"/>
                <w:szCs w:val="21"/>
                <w:highlight w:val="none"/>
                <w:lang w:val="en-US" w:eastAsia="zh-CN"/>
              </w:rPr>
              <w:t>噪声、土壤或地下水污染防治措施</w:t>
            </w:r>
            <w:r>
              <w:rPr>
                <w:rFonts w:hint="eastAsia" w:ascii="Times New Roman" w:hAnsi="Times New Roman" w:eastAsia="宋体" w:cs="Times New Roman"/>
                <w:smallCaps/>
                <w:color w:val="auto"/>
                <w:sz w:val="21"/>
                <w:szCs w:val="21"/>
                <w:highlight w:val="none"/>
                <w:lang w:val="en-US" w:eastAsia="zh-CN"/>
              </w:rPr>
              <w:t>未发生</w:t>
            </w:r>
            <w:r>
              <w:rPr>
                <w:rFonts w:hint="default" w:ascii="Times New Roman" w:hAnsi="Times New Roman" w:eastAsia="宋体" w:cs="Times New Roman"/>
                <w:smallCaps/>
                <w:color w:val="auto"/>
                <w:sz w:val="21"/>
                <w:szCs w:val="21"/>
                <w:highlight w:val="none"/>
                <w:lang w:val="en-US" w:eastAsia="zh-CN"/>
              </w:rPr>
              <w:t>变化</w:t>
            </w:r>
          </w:p>
        </w:tc>
        <w:tc>
          <w:tcPr>
            <w:tcW w:w="418" w:type="pct"/>
            <w:noWrap w:val="0"/>
            <w:vAlign w:val="center"/>
          </w:tcPr>
          <w:p w14:paraId="511FD892">
            <w:pPr>
              <w:pStyle w:val="13"/>
              <w:keepNext w:val="0"/>
              <w:keepLines w:val="0"/>
              <w:pageBreakBefore w:val="0"/>
              <w:widowControl w:val="0"/>
              <w:tabs>
                <w:tab w:val="right" w:leader="dot" w:pos="9457"/>
              </w:tabs>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smallCaps/>
                <w:color w:val="auto"/>
                <w:sz w:val="21"/>
                <w:szCs w:val="21"/>
                <w:highlight w:val="none"/>
                <w:lang w:val="en-US" w:eastAsia="zh-CN"/>
              </w:rPr>
            </w:pPr>
            <w:r>
              <w:rPr>
                <w:rFonts w:hint="eastAsia" w:ascii="Times New Roman" w:hAnsi="Times New Roman" w:eastAsia="宋体" w:cs="Times New Roman"/>
                <w:smallCaps/>
                <w:color w:val="auto"/>
                <w:sz w:val="21"/>
                <w:szCs w:val="21"/>
                <w:highlight w:val="none"/>
                <w:lang w:val="en-US" w:eastAsia="zh-CN"/>
              </w:rPr>
              <w:t>/</w:t>
            </w:r>
          </w:p>
        </w:tc>
        <w:tc>
          <w:tcPr>
            <w:tcW w:w="417" w:type="pct"/>
            <w:noWrap w:val="0"/>
            <w:vAlign w:val="center"/>
          </w:tcPr>
          <w:p w14:paraId="0B0BE8BA">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smallCaps/>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w:t>
            </w:r>
          </w:p>
        </w:tc>
      </w:tr>
      <w:tr w14:paraId="2FDE1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3" w:type="pct"/>
            <w:noWrap w:val="0"/>
            <w:vAlign w:val="center"/>
          </w:tcPr>
          <w:p w14:paraId="009B7457">
            <w:pPr>
              <w:pStyle w:val="13"/>
              <w:keepNext w:val="0"/>
              <w:keepLines w:val="0"/>
              <w:pageBreakBefore w:val="0"/>
              <w:widowControl w:val="0"/>
              <w:tabs>
                <w:tab w:val="right" w:leader="dot" w:pos="9457"/>
              </w:tabs>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smallCaps/>
                <w:color w:val="auto"/>
                <w:sz w:val="21"/>
                <w:szCs w:val="21"/>
                <w:highlight w:val="none"/>
                <w:lang w:val="en-US" w:eastAsia="zh-CN"/>
              </w:rPr>
            </w:pPr>
            <w:r>
              <w:rPr>
                <w:rFonts w:hint="default" w:ascii="Times New Roman" w:hAnsi="Times New Roman" w:eastAsia="宋体" w:cs="Times New Roman"/>
                <w:smallCaps/>
                <w:color w:val="auto"/>
                <w:sz w:val="21"/>
                <w:szCs w:val="21"/>
                <w:highlight w:val="none"/>
                <w:lang w:val="en-US" w:eastAsia="zh-CN"/>
              </w:rPr>
              <w:t>12</w:t>
            </w:r>
          </w:p>
        </w:tc>
        <w:tc>
          <w:tcPr>
            <w:tcW w:w="1984" w:type="pct"/>
            <w:noWrap w:val="0"/>
            <w:vAlign w:val="center"/>
          </w:tcPr>
          <w:p w14:paraId="528D13AE">
            <w:pPr>
              <w:pStyle w:val="13"/>
              <w:keepNext w:val="0"/>
              <w:keepLines w:val="0"/>
              <w:pageBreakBefore w:val="0"/>
              <w:widowControl w:val="0"/>
              <w:tabs>
                <w:tab w:val="right" w:leader="dot" w:pos="9457"/>
              </w:tabs>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smallCaps/>
                <w:color w:val="auto"/>
                <w:sz w:val="21"/>
                <w:szCs w:val="21"/>
                <w:highlight w:val="none"/>
                <w:lang w:val="en-US" w:eastAsia="zh-CN"/>
              </w:rPr>
            </w:pPr>
            <w:r>
              <w:rPr>
                <w:rFonts w:hint="default" w:ascii="Times New Roman" w:hAnsi="Times New Roman" w:eastAsia="宋体" w:cs="Times New Roman"/>
                <w:smallCaps/>
                <w:color w:val="auto"/>
                <w:sz w:val="21"/>
                <w:szCs w:val="21"/>
                <w:highlight w:val="none"/>
                <w:lang w:val="en-US" w:eastAsia="zh-CN"/>
              </w:rPr>
              <w:t>固体废物利用处置方式由委托外单位利用处置改为自行利用处置的（自行利用处置设施单独开展环境影响评价的除外）；固体废物自行处置方式变化，导致不利环境影响加重的</w:t>
            </w:r>
          </w:p>
        </w:tc>
        <w:tc>
          <w:tcPr>
            <w:tcW w:w="1976" w:type="pct"/>
            <w:gridSpan w:val="2"/>
            <w:noWrap w:val="0"/>
            <w:vAlign w:val="center"/>
          </w:tcPr>
          <w:p w14:paraId="3FAF23A2">
            <w:pPr>
              <w:pStyle w:val="13"/>
              <w:keepNext w:val="0"/>
              <w:keepLines w:val="0"/>
              <w:pageBreakBefore w:val="0"/>
              <w:widowControl w:val="0"/>
              <w:tabs>
                <w:tab w:val="right" w:leader="dot" w:pos="9457"/>
              </w:tabs>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宋体" w:cs="Times New Roman"/>
                <w:smallCaps/>
                <w:color w:val="auto"/>
                <w:sz w:val="21"/>
                <w:szCs w:val="21"/>
                <w:highlight w:val="none"/>
                <w:lang w:val="en-US" w:eastAsia="zh-CN"/>
              </w:rPr>
            </w:pPr>
            <w:r>
              <w:rPr>
                <w:rFonts w:hint="eastAsia" w:ascii="Times New Roman" w:hAnsi="Times New Roman" w:eastAsia="宋体" w:cs="Times New Roman"/>
                <w:smallCaps/>
                <w:color w:val="auto"/>
                <w:sz w:val="21"/>
                <w:szCs w:val="21"/>
                <w:highlight w:val="none"/>
                <w:lang w:val="en-US" w:eastAsia="zh-CN"/>
              </w:rPr>
              <w:t>实际</w:t>
            </w:r>
            <w:r>
              <w:rPr>
                <w:rFonts w:hint="default" w:ascii="Times New Roman" w:hAnsi="Times New Roman" w:eastAsia="宋体" w:cs="Times New Roman"/>
                <w:smallCaps/>
                <w:color w:val="auto"/>
                <w:sz w:val="21"/>
                <w:szCs w:val="21"/>
                <w:highlight w:val="none"/>
                <w:lang w:val="en-US" w:eastAsia="zh-CN"/>
              </w:rPr>
              <w:t>固体废物利用处置方式</w:t>
            </w:r>
            <w:r>
              <w:rPr>
                <w:rFonts w:hint="eastAsia" w:ascii="Times New Roman" w:hAnsi="Times New Roman" w:eastAsia="宋体" w:cs="Times New Roman"/>
                <w:smallCaps/>
                <w:color w:val="auto"/>
                <w:sz w:val="21"/>
                <w:szCs w:val="21"/>
                <w:highlight w:val="none"/>
                <w:lang w:val="en-US" w:eastAsia="zh-CN"/>
              </w:rPr>
              <w:t>仍为</w:t>
            </w:r>
            <w:r>
              <w:rPr>
                <w:rFonts w:hint="default" w:ascii="Times New Roman" w:hAnsi="Times New Roman" w:eastAsia="宋体" w:cs="Times New Roman"/>
                <w:smallCaps/>
                <w:color w:val="auto"/>
                <w:sz w:val="21"/>
                <w:szCs w:val="21"/>
                <w:highlight w:val="none"/>
                <w:lang w:val="en-US" w:eastAsia="zh-CN"/>
              </w:rPr>
              <w:t>委托外单位利用处置</w:t>
            </w:r>
          </w:p>
        </w:tc>
        <w:tc>
          <w:tcPr>
            <w:tcW w:w="418" w:type="pct"/>
            <w:noWrap w:val="0"/>
            <w:vAlign w:val="center"/>
          </w:tcPr>
          <w:p w14:paraId="192B940D">
            <w:pPr>
              <w:pStyle w:val="13"/>
              <w:keepNext w:val="0"/>
              <w:keepLines w:val="0"/>
              <w:pageBreakBefore w:val="0"/>
              <w:widowControl w:val="0"/>
              <w:tabs>
                <w:tab w:val="right" w:leader="dot" w:pos="9457"/>
              </w:tabs>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宋体" w:cs="Times New Roman"/>
                <w:smallCaps/>
                <w:color w:val="auto"/>
                <w:sz w:val="21"/>
                <w:szCs w:val="21"/>
                <w:highlight w:val="none"/>
                <w:lang w:val="en-US" w:eastAsia="zh-CN"/>
              </w:rPr>
            </w:pPr>
            <w:r>
              <w:rPr>
                <w:rFonts w:hint="eastAsia" w:ascii="Times New Roman" w:hAnsi="Times New Roman" w:eastAsia="宋体" w:cs="Times New Roman"/>
                <w:smallCaps/>
                <w:color w:val="auto"/>
                <w:sz w:val="21"/>
                <w:szCs w:val="21"/>
                <w:highlight w:val="none"/>
                <w:lang w:val="en-US" w:eastAsia="zh-CN"/>
              </w:rPr>
              <w:t>/</w:t>
            </w:r>
          </w:p>
        </w:tc>
        <w:tc>
          <w:tcPr>
            <w:tcW w:w="417" w:type="pct"/>
            <w:noWrap w:val="0"/>
            <w:vAlign w:val="center"/>
          </w:tcPr>
          <w:p w14:paraId="7071116C">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smallCaps/>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w:t>
            </w:r>
          </w:p>
        </w:tc>
      </w:tr>
      <w:tr w14:paraId="2788D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3" w:type="pct"/>
            <w:noWrap w:val="0"/>
            <w:vAlign w:val="center"/>
          </w:tcPr>
          <w:p w14:paraId="204A3DBC">
            <w:pPr>
              <w:pStyle w:val="13"/>
              <w:keepNext w:val="0"/>
              <w:keepLines w:val="0"/>
              <w:pageBreakBefore w:val="0"/>
              <w:widowControl w:val="0"/>
              <w:tabs>
                <w:tab w:val="right" w:leader="dot" w:pos="9457"/>
              </w:tabs>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smallCaps/>
                <w:color w:val="auto"/>
                <w:sz w:val="21"/>
                <w:szCs w:val="21"/>
                <w:highlight w:val="none"/>
                <w:lang w:val="en-US" w:eastAsia="zh-CN"/>
              </w:rPr>
            </w:pPr>
            <w:r>
              <w:rPr>
                <w:rFonts w:hint="default" w:ascii="Times New Roman" w:hAnsi="Times New Roman" w:eastAsia="宋体" w:cs="Times New Roman"/>
                <w:smallCaps/>
                <w:color w:val="auto"/>
                <w:sz w:val="21"/>
                <w:szCs w:val="21"/>
                <w:highlight w:val="none"/>
                <w:lang w:val="en-US" w:eastAsia="zh-CN"/>
              </w:rPr>
              <w:t>13</w:t>
            </w:r>
          </w:p>
        </w:tc>
        <w:tc>
          <w:tcPr>
            <w:tcW w:w="1984" w:type="pct"/>
            <w:noWrap w:val="0"/>
            <w:vAlign w:val="center"/>
          </w:tcPr>
          <w:p w14:paraId="4FAD710C">
            <w:pPr>
              <w:pStyle w:val="13"/>
              <w:keepNext w:val="0"/>
              <w:keepLines w:val="0"/>
              <w:pageBreakBefore w:val="0"/>
              <w:widowControl w:val="0"/>
              <w:tabs>
                <w:tab w:val="right" w:leader="dot" w:pos="9457"/>
              </w:tabs>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smallCaps/>
                <w:color w:val="auto"/>
                <w:sz w:val="21"/>
                <w:szCs w:val="21"/>
                <w:highlight w:val="none"/>
                <w:lang w:val="en-US" w:eastAsia="zh-CN"/>
              </w:rPr>
            </w:pPr>
            <w:r>
              <w:rPr>
                <w:rFonts w:hint="default" w:ascii="Times New Roman" w:hAnsi="Times New Roman" w:eastAsia="宋体" w:cs="Times New Roman"/>
                <w:smallCaps/>
                <w:color w:val="auto"/>
                <w:sz w:val="21"/>
                <w:szCs w:val="21"/>
                <w:highlight w:val="none"/>
                <w:lang w:val="en-US" w:eastAsia="zh-CN"/>
              </w:rPr>
              <w:t>事故废水暂存能力或拦截设施变化，导致环境风险防范能力弱化或降低的</w:t>
            </w:r>
          </w:p>
        </w:tc>
        <w:tc>
          <w:tcPr>
            <w:tcW w:w="1976" w:type="pct"/>
            <w:gridSpan w:val="2"/>
            <w:noWrap w:val="0"/>
            <w:vAlign w:val="center"/>
          </w:tcPr>
          <w:p w14:paraId="1DCF1B65">
            <w:pPr>
              <w:pStyle w:val="13"/>
              <w:keepNext w:val="0"/>
              <w:keepLines w:val="0"/>
              <w:pageBreakBefore w:val="0"/>
              <w:widowControl w:val="0"/>
              <w:tabs>
                <w:tab w:val="right" w:leader="dot" w:pos="9457"/>
              </w:tabs>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宋体" w:cs="Times New Roman"/>
                <w:smallCaps/>
                <w:color w:val="auto"/>
                <w:sz w:val="21"/>
                <w:szCs w:val="21"/>
                <w:highlight w:val="none"/>
                <w:lang w:val="en-US" w:eastAsia="zh-CN"/>
              </w:rPr>
            </w:pPr>
            <w:r>
              <w:rPr>
                <w:rFonts w:hint="eastAsia" w:ascii="Times New Roman" w:hAnsi="Times New Roman" w:eastAsia="宋体" w:cs="Times New Roman"/>
                <w:smallCaps/>
                <w:color w:val="auto"/>
                <w:sz w:val="21"/>
                <w:szCs w:val="21"/>
                <w:highlight w:val="none"/>
                <w:lang w:val="en-US" w:eastAsia="zh-CN"/>
              </w:rPr>
              <w:t>项目</w:t>
            </w:r>
            <w:r>
              <w:rPr>
                <w:rFonts w:hint="default" w:ascii="Times New Roman" w:hAnsi="Times New Roman" w:eastAsia="宋体" w:cs="Times New Roman"/>
                <w:smallCaps/>
                <w:color w:val="auto"/>
                <w:sz w:val="21"/>
                <w:szCs w:val="21"/>
                <w:highlight w:val="none"/>
                <w:lang w:val="en-US" w:eastAsia="zh-CN"/>
              </w:rPr>
              <w:t>事故废水暂存能力或拦截设施</w:t>
            </w:r>
            <w:r>
              <w:rPr>
                <w:rFonts w:hint="eastAsia" w:ascii="Times New Roman" w:hAnsi="Times New Roman" w:eastAsia="宋体" w:cs="Times New Roman"/>
                <w:smallCaps/>
                <w:color w:val="auto"/>
                <w:sz w:val="21"/>
                <w:szCs w:val="21"/>
                <w:highlight w:val="none"/>
                <w:lang w:val="en-US" w:eastAsia="zh-CN"/>
              </w:rPr>
              <w:t>不变</w:t>
            </w:r>
          </w:p>
        </w:tc>
        <w:tc>
          <w:tcPr>
            <w:tcW w:w="418" w:type="pct"/>
            <w:noWrap w:val="0"/>
            <w:vAlign w:val="center"/>
          </w:tcPr>
          <w:p w14:paraId="6CB0426F">
            <w:pPr>
              <w:pStyle w:val="13"/>
              <w:keepNext w:val="0"/>
              <w:keepLines w:val="0"/>
              <w:pageBreakBefore w:val="0"/>
              <w:widowControl w:val="0"/>
              <w:tabs>
                <w:tab w:val="right" w:leader="dot" w:pos="9457"/>
              </w:tabs>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宋体" w:cs="Times New Roman"/>
                <w:smallCaps/>
                <w:color w:val="auto"/>
                <w:sz w:val="21"/>
                <w:szCs w:val="21"/>
                <w:highlight w:val="none"/>
                <w:lang w:val="en-US" w:eastAsia="zh-CN"/>
              </w:rPr>
            </w:pPr>
            <w:r>
              <w:rPr>
                <w:rFonts w:hint="eastAsia" w:ascii="Times New Roman" w:hAnsi="Times New Roman" w:eastAsia="宋体" w:cs="Times New Roman"/>
                <w:smallCaps/>
                <w:color w:val="auto"/>
                <w:sz w:val="21"/>
                <w:szCs w:val="21"/>
                <w:highlight w:val="none"/>
                <w:lang w:val="en-US" w:eastAsia="zh-CN"/>
              </w:rPr>
              <w:t>/</w:t>
            </w:r>
          </w:p>
        </w:tc>
        <w:tc>
          <w:tcPr>
            <w:tcW w:w="417" w:type="pct"/>
            <w:noWrap w:val="0"/>
            <w:vAlign w:val="center"/>
          </w:tcPr>
          <w:p w14:paraId="668C3B54">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smallCaps/>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w:t>
            </w:r>
          </w:p>
        </w:tc>
      </w:tr>
    </w:tbl>
    <w:p w14:paraId="5C8B3F9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8"/>
          <w:szCs w:val="11"/>
          <w:lang w:val="en-US" w:eastAsia="zh-CN"/>
        </w:rPr>
      </w:pPr>
    </w:p>
    <w:p w14:paraId="55FA5329">
      <w:pPr>
        <w:pStyle w:val="2"/>
        <w:rPr>
          <w:rFonts w:hint="default" w:ascii="Times New Roman" w:hAnsi="Times New Roman" w:cs="Times New Roman"/>
          <w:sz w:val="8"/>
          <w:szCs w:val="11"/>
          <w:lang w:val="en-US" w:eastAsia="zh-CN"/>
        </w:rPr>
      </w:pPr>
    </w:p>
    <w:p w14:paraId="611056C9">
      <w:pPr>
        <w:pStyle w:val="2"/>
        <w:rPr>
          <w:rFonts w:hint="default" w:ascii="Times New Roman" w:hAnsi="Times New Roman" w:cs="Times New Roman"/>
          <w:sz w:val="8"/>
          <w:szCs w:val="11"/>
          <w:lang w:val="en-US" w:eastAsia="zh-CN"/>
        </w:rPr>
        <w:sectPr>
          <w:pgSz w:w="16838" w:h="11906" w:orient="landscape"/>
          <w:pgMar w:top="1531" w:right="1701" w:bottom="1440" w:left="1701" w:header="851" w:footer="992" w:gutter="0"/>
          <w:pgNumType w:fmt="decimal"/>
          <w:cols w:space="425" w:num="1"/>
          <w:docGrid w:type="lines" w:linePitch="312" w:charSpace="0"/>
        </w:sectPr>
      </w:pPr>
    </w:p>
    <w:p w14:paraId="7B8C465E">
      <w:pPr>
        <w:pStyle w:val="2"/>
        <w:jc w:val="center"/>
        <w:rPr>
          <w:rFonts w:hint="default" w:ascii="Times New Roman" w:hAnsi="Times New Roman" w:cs="Times New Roman"/>
          <w:sz w:val="8"/>
          <w:szCs w:val="11"/>
          <w:lang w:val="en-US" w:eastAsia="zh-CN"/>
        </w:rPr>
      </w:pPr>
      <w:r>
        <w:rPr>
          <w:rFonts w:hint="default" w:ascii="Times New Roman" w:hAnsi="Times New Roman" w:cs="Times New Roman"/>
          <w:sz w:val="8"/>
          <w:szCs w:val="11"/>
          <w:lang w:val="en-US" w:eastAsia="zh-CN"/>
        </w:rPr>
        <w:drawing>
          <wp:inline distT="0" distB="0" distL="114300" distR="114300">
            <wp:extent cx="3045460" cy="4060825"/>
            <wp:effectExtent l="0" t="0" r="2540" b="15875"/>
            <wp:docPr id="2" name="图片 2" descr="90a05c741b83d825f47726a67714dd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90a05c741b83d825f47726a67714dd8"/>
                    <pic:cNvPicPr>
                      <a:picLocks noChangeAspect="1"/>
                    </pic:cNvPicPr>
                  </pic:nvPicPr>
                  <pic:blipFill>
                    <a:blip r:embed="rId5"/>
                    <a:stretch>
                      <a:fillRect/>
                    </a:stretch>
                  </pic:blipFill>
                  <pic:spPr>
                    <a:xfrm>
                      <a:off x="0" y="0"/>
                      <a:ext cx="3045460" cy="4060825"/>
                    </a:xfrm>
                    <a:prstGeom prst="rect">
                      <a:avLst/>
                    </a:prstGeom>
                  </pic:spPr>
                </pic:pic>
              </a:graphicData>
            </a:graphic>
          </wp:inline>
        </w:drawing>
      </w:r>
    </w:p>
    <w:p w14:paraId="4E2DC813">
      <w:pPr>
        <w:pStyle w:val="2"/>
        <w:jc w:val="center"/>
        <w:rPr>
          <w:rFonts w:hint="eastAsia"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投料漏斗</w:t>
      </w:r>
    </w:p>
    <w:p w14:paraId="5118FE98">
      <w:pPr>
        <w:pStyle w:val="2"/>
        <w:ind w:left="0" w:leftChars="0" w:firstLine="0" w:firstLineChars="0"/>
        <w:jc w:val="center"/>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drawing>
          <wp:inline distT="0" distB="0" distL="114300" distR="114300">
            <wp:extent cx="4060825" cy="3045460"/>
            <wp:effectExtent l="0" t="0" r="15875" b="2540"/>
            <wp:docPr id="3" name="图片 3" descr="735e5d965aaa5e29b5982b7e65aeb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735e5d965aaa5e29b5982b7e65aebcc"/>
                    <pic:cNvPicPr>
                      <a:picLocks noChangeAspect="1"/>
                    </pic:cNvPicPr>
                  </pic:nvPicPr>
                  <pic:blipFill>
                    <a:blip r:embed="rId6"/>
                    <a:stretch>
                      <a:fillRect/>
                    </a:stretch>
                  </pic:blipFill>
                  <pic:spPr>
                    <a:xfrm>
                      <a:off x="0" y="0"/>
                      <a:ext cx="4060825" cy="3045460"/>
                    </a:xfrm>
                    <a:prstGeom prst="rect">
                      <a:avLst/>
                    </a:prstGeom>
                  </pic:spPr>
                </pic:pic>
              </a:graphicData>
            </a:graphic>
          </wp:inline>
        </w:drawing>
      </w:r>
    </w:p>
    <w:p w14:paraId="4DC1AC2E">
      <w:pPr>
        <w:pStyle w:val="2"/>
        <w:jc w:val="center"/>
        <w:rPr>
          <w:rFonts w:hint="eastAsia"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破碎、搅拌设备</w:t>
      </w:r>
    </w:p>
    <w:p w14:paraId="0165DB69">
      <w:pPr>
        <w:pStyle w:val="2"/>
        <w:jc w:val="center"/>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drawing>
          <wp:inline distT="0" distB="0" distL="114300" distR="114300">
            <wp:extent cx="4531360" cy="3022600"/>
            <wp:effectExtent l="0" t="0" r="0" b="0"/>
            <wp:docPr id="4" name="图片 4" descr="5089c6ac6f0c8184dbc76d4f7786e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5089c6ac6f0c8184dbc76d4f7786e75"/>
                    <pic:cNvPicPr>
                      <a:picLocks noChangeAspect="1"/>
                    </pic:cNvPicPr>
                  </pic:nvPicPr>
                  <pic:blipFill>
                    <a:blip r:embed="rId7"/>
                    <a:srcRect l="19910" t="12231" b="16512"/>
                    <a:stretch>
                      <a:fillRect/>
                    </a:stretch>
                  </pic:blipFill>
                  <pic:spPr>
                    <a:xfrm>
                      <a:off x="0" y="0"/>
                      <a:ext cx="4531360" cy="3022600"/>
                    </a:xfrm>
                    <a:prstGeom prst="rect">
                      <a:avLst/>
                    </a:prstGeom>
                  </pic:spPr>
                </pic:pic>
              </a:graphicData>
            </a:graphic>
          </wp:inline>
        </w:drawing>
      </w:r>
    </w:p>
    <w:p w14:paraId="557248F8">
      <w:pPr>
        <w:pStyle w:val="2"/>
        <w:jc w:val="center"/>
        <w:rPr>
          <w:rFonts w:hint="eastAsia"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布袋除尘器</w:t>
      </w:r>
    </w:p>
    <w:p w14:paraId="67671B8B">
      <w:pPr>
        <w:pStyle w:val="2"/>
        <w:jc w:val="center"/>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drawing>
          <wp:inline distT="0" distB="0" distL="114300" distR="114300">
            <wp:extent cx="3049270" cy="4067810"/>
            <wp:effectExtent l="0" t="0" r="17780" b="8890"/>
            <wp:docPr id="5" name="图片 5" descr="5a9a8d573414efc4935399e51e8dab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5a9a8d573414efc4935399e51e8dab6"/>
                    <pic:cNvPicPr>
                      <a:picLocks noChangeAspect="1"/>
                    </pic:cNvPicPr>
                  </pic:nvPicPr>
                  <pic:blipFill>
                    <a:blip r:embed="rId8"/>
                    <a:stretch>
                      <a:fillRect/>
                    </a:stretch>
                  </pic:blipFill>
                  <pic:spPr>
                    <a:xfrm>
                      <a:off x="0" y="0"/>
                      <a:ext cx="3049270" cy="4067810"/>
                    </a:xfrm>
                    <a:prstGeom prst="rect">
                      <a:avLst/>
                    </a:prstGeom>
                  </pic:spPr>
                </pic:pic>
              </a:graphicData>
            </a:graphic>
          </wp:inline>
        </w:drawing>
      </w:r>
    </w:p>
    <w:p w14:paraId="6173A368">
      <w:pPr>
        <w:pStyle w:val="2"/>
        <w:jc w:val="center"/>
        <w:rPr>
          <w:rFonts w:hint="eastAsia"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旋风除尘器</w:t>
      </w:r>
    </w:p>
    <w:p w14:paraId="54FADA2B">
      <w:pPr>
        <w:pStyle w:val="2"/>
        <w:jc w:val="center"/>
        <w:rPr>
          <w:rFonts w:hint="default" w:ascii="Times New Roman" w:hAnsi="Times New Roman" w:cs="Times New Roman"/>
          <w:b/>
          <w:bCs/>
          <w:sz w:val="24"/>
          <w:szCs w:val="24"/>
          <w:lang w:val="en-US" w:eastAsia="zh-CN"/>
        </w:rPr>
      </w:pPr>
    </w:p>
    <w:p w14:paraId="72C0C984">
      <w:pPr>
        <w:pStyle w:val="2"/>
        <w:rPr>
          <w:rFonts w:hint="default" w:ascii="Times New Roman" w:hAnsi="Times New Roman" w:cs="Times New Roman"/>
          <w:sz w:val="8"/>
          <w:szCs w:val="11"/>
          <w:lang w:val="en-US" w:eastAsia="zh-CN"/>
        </w:rPr>
      </w:pPr>
    </w:p>
    <w:p w14:paraId="44CACB6F">
      <w:pPr>
        <w:pStyle w:val="2"/>
        <w:rPr>
          <w:rFonts w:hint="default" w:ascii="Times New Roman" w:hAnsi="Times New Roman" w:cs="Times New Roman"/>
          <w:sz w:val="8"/>
          <w:szCs w:val="11"/>
          <w:lang w:val="en-US" w:eastAsia="zh-CN"/>
        </w:rPr>
        <w:sectPr>
          <w:pgSz w:w="11906" w:h="16838"/>
          <w:pgMar w:top="1701" w:right="1440" w:bottom="1701" w:left="1531" w:header="851" w:footer="992" w:gutter="0"/>
          <w:pgNumType w:fmt="decimal"/>
          <w:cols w:space="425" w:num="1"/>
          <w:docGrid w:type="lines" w:linePitch="312" w:charSpace="0"/>
        </w:sectPr>
      </w:pPr>
    </w:p>
    <w:p w14:paraId="2924E57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jc w:val="both"/>
        <w:textAlignment w:val="auto"/>
        <w:outlineLvl w:val="0"/>
        <w:rPr>
          <w:rFonts w:hint="eastAsia" w:ascii="Times New Roman" w:hAnsi="Times New Roman" w:cs="Times New Roman"/>
          <w:b/>
          <w:bCs/>
          <w:sz w:val="28"/>
          <w:szCs w:val="36"/>
          <w:lang w:eastAsia="zh-CN"/>
        </w:rPr>
      </w:pPr>
      <w:r>
        <w:rPr>
          <w:rFonts w:hint="eastAsia" w:ascii="Times New Roman" w:hAnsi="Times New Roman" w:cs="Times New Roman"/>
          <w:b/>
          <w:bCs/>
          <w:sz w:val="28"/>
          <w:szCs w:val="36"/>
          <w:lang w:eastAsia="zh-CN"/>
        </w:rPr>
        <w:t>二、评价要素</w:t>
      </w:r>
    </w:p>
    <w:p w14:paraId="189B1190">
      <w:pPr>
        <w:snapToGrid w:val="0"/>
        <w:spacing w:line="360" w:lineRule="auto"/>
        <w:ind w:firstLine="480" w:firstLineChars="200"/>
        <w:rPr>
          <w:rFonts w:hint="eastAsia" w:ascii="Times New Roman" w:hAnsi="Times New Roman"/>
          <w:color w:val="auto"/>
          <w:sz w:val="24"/>
          <w:szCs w:val="24"/>
        </w:rPr>
      </w:pPr>
      <w:r>
        <w:rPr>
          <w:rFonts w:hint="eastAsia" w:ascii="Times New Roman" w:hAnsi="Times New Roman"/>
          <w:color w:val="auto"/>
          <w:sz w:val="24"/>
          <w:szCs w:val="24"/>
        </w:rPr>
        <w:t>本项目变动后，原环评中各环境要素评价等级、评价范围、评价标准均不发生变化</w:t>
      </w:r>
    </w:p>
    <w:p w14:paraId="1E1F0CC9">
      <w:pPr>
        <w:snapToGrid w:val="0"/>
        <w:spacing w:line="360" w:lineRule="auto"/>
        <w:ind w:firstLine="480" w:firstLineChars="200"/>
        <w:rPr>
          <w:rFonts w:hint="eastAsia" w:ascii="Times New Roman" w:hAnsi="Times New Roman"/>
          <w:color w:val="auto"/>
          <w:sz w:val="24"/>
          <w:szCs w:val="24"/>
          <w:lang w:eastAsia="zh-CN"/>
        </w:rPr>
      </w:pPr>
      <w:r>
        <w:rPr>
          <w:rFonts w:hint="eastAsia" w:ascii="Times New Roman" w:hAnsi="Times New Roman"/>
          <w:color w:val="auto"/>
          <w:sz w:val="24"/>
          <w:szCs w:val="24"/>
          <w:lang w:val="en-US" w:eastAsia="zh-CN"/>
        </w:rPr>
        <w:t>1、</w:t>
      </w:r>
      <w:r>
        <w:rPr>
          <w:rFonts w:hint="eastAsia" w:ascii="Times New Roman" w:hAnsi="Times New Roman"/>
          <w:color w:val="auto"/>
          <w:sz w:val="24"/>
          <w:szCs w:val="24"/>
          <w:lang w:eastAsia="zh-CN"/>
        </w:rPr>
        <w:t>废水</w:t>
      </w:r>
    </w:p>
    <w:p w14:paraId="5D6F5C61">
      <w:pPr>
        <w:numPr>
          <w:ilvl w:val="0"/>
          <w:numId w:val="0"/>
        </w:numPr>
        <w:adjustRightInd w:val="0"/>
        <w:snapToGrid w:val="0"/>
        <w:spacing w:line="360" w:lineRule="auto"/>
        <w:ind w:firstLine="480" w:firstLineChars="200"/>
        <w:rPr>
          <w:color w:val="auto"/>
          <w:sz w:val="24"/>
        </w:rPr>
      </w:pPr>
      <w:r>
        <w:rPr>
          <w:rFonts w:hint="default" w:ascii="Times New Roman" w:hAnsi="Times New Roman" w:eastAsia="宋体" w:cs="Times New Roman"/>
          <w:color w:val="auto"/>
          <w:sz w:val="24"/>
          <w:szCs w:val="28"/>
          <w:highlight w:val="none"/>
          <w:lang w:bidi="ar"/>
        </w:rPr>
        <w:t>项目</w:t>
      </w:r>
      <w:r>
        <w:rPr>
          <w:rFonts w:hint="default" w:ascii="Times New Roman" w:hAnsi="Times New Roman" w:cs="Times New Roman"/>
          <w:color w:val="auto"/>
          <w:sz w:val="24"/>
          <w:szCs w:val="28"/>
          <w:highlight w:val="none"/>
          <w:lang w:val="en-US" w:eastAsia="zh-CN" w:bidi="ar"/>
        </w:rPr>
        <w:t>废水为水喷淋塔废水、</w:t>
      </w:r>
      <w:r>
        <w:rPr>
          <w:rFonts w:hint="default" w:ascii="Times New Roman" w:hAnsi="Times New Roman" w:cs="Times New Roman"/>
          <w:color w:val="auto"/>
          <w:sz w:val="24"/>
          <w:szCs w:val="24"/>
          <w:highlight w:val="none"/>
          <w:lang w:val="en-US" w:eastAsia="zh-CN"/>
        </w:rPr>
        <w:t>水洗塔废水和初期雨水</w:t>
      </w:r>
      <w:r>
        <w:rPr>
          <w:rFonts w:hint="default" w:ascii="Times New Roman" w:hAnsi="Times New Roman" w:cs="Times New Roman"/>
          <w:color w:val="auto"/>
          <w:sz w:val="24"/>
          <w:szCs w:val="28"/>
          <w:highlight w:val="none"/>
          <w:lang w:val="en-US" w:eastAsia="zh-CN" w:bidi="ar"/>
        </w:rPr>
        <w:t>，水喷淋塔废水、</w:t>
      </w:r>
      <w:r>
        <w:rPr>
          <w:rFonts w:hint="default" w:ascii="Times New Roman" w:hAnsi="Times New Roman" w:cs="Times New Roman"/>
          <w:color w:val="auto"/>
          <w:sz w:val="24"/>
          <w:szCs w:val="24"/>
          <w:highlight w:val="none"/>
          <w:lang w:val="en-US" w:eastAsia="zh-CN"/>
        </w:rPr>
        <w:t>水洗塔废水直接回用于挤压造粒生产线，初期雨水经初期雨水收集池沉淀后回用于挤压造粒生产线</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项目无废水外排</w:t>
      </w:r>
      <w:r>
        <w:rPr>
          <w:color w:val="auto"/>
          <w:sz w:val="24"/>
        </w:rPr>
        <w:t>。</w:t>
      </w:r>
    </w:p>
    <w:p w14:paraId="50CB9C9B">
      <w:pPr>
        <w:snapToGrid w:val="0"/>
        <w:spacing w:line="360" w:lineRule="auto"/>
        <w:ind w:firstLine="480" w:firstLineChars="200"/>
        <w:rPr>
          <w:rFonts w:hint="eastAsia" w:ascii="Times New Roman" w:hAnsi="Times New Roman"/>
          <w:color w:val="auto"/>
          <w:sz w:val="24"/>
          <w:szCs w:val="24"/>
          <w:lang w:eastAsia="zh-CN"/>
        </w:rPr>
      </w:pPr>
      <w:bookmarkStart w:id="0" w:name="_Toc31540"/>
      <w:r>
        <w:rPr>
          <w:rFonts w:hint="eastAsia" w:ascii="Times New Roman" w:hAnsi="Times New Roman"/>
          <w:color w:val="auto"/>
          <w:sz w:val="24"/>
          <w:szCs w:val="24"/>
          <w:lang w:val="en-US" w:eastAsia="zh-CN"/>
        </w:rPr>
        <w:t>2、</w:t>
      </w:r>
      <w:r>
        <w:rPr>
          <w:rFonts w:hint="eastAsia" w:ascii="Times New Roman" w:hAnsi="Times New Roman"/>
          <w:color w:val="auto"/>
          <w:sz w:val="24"/>
          <w:szCs w:val="24"/>
          <w:lang w:eastAsia="zh-CN"/>
        </w:rPr>
        <w:t>废气</w:t>
      </w:r>
    </w:p>
    <w:p w14:paraId="70C02821">
      <w:pPr>
        <w:numPr>
          <w:ilvl w:val="0"/>
          <w:numId w:val="0"/>
        </w:numPr>
        <w:adjustRightInd w:val="0"/>
        <w:snapToGrid w:val="0"/>
        <w:spacing w:line="360" w:lineRule="auto"/>
        <w:ind w:firstLine="480" w:firstLineChars="200"/>
        <w:rPr>
          <w:rFonts w:hint="default" w:ascii="Times New Roman" w:hAnsi="Times New Roman" w:cs="Times New Roman"/>
          <w:bCs/>
          <w:color w:val="auto"/>
          <w:sz w:val="24"/>
        </w:rPr>
      </w:pPr>
      <w:r>
        <w:rPr>
          <w:rFonts w:hint="default" w:ascii="Times New Roman" w:hAnsi="Times New Roman" w:eastAsia="宋体" w:cs="Times New Roman"/>
          <w:color w:val="auto"/>
          <w:sz w:val="24"/>
          <w:highlight w:val="none"/>
        </w:rPr>
        <w:t>项目有组织排放的颗粒物</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lang w:val="en-US" w:eastAsia="zh-CN"/>
        </w:rPr>
        <w:t>非甲烷总烃、硫酸雾</w:t>
      </w:r>
      <w:r>
        <w:rPr>
          <w:rFonts w:hint="default" w:ascii="Times New Roman" w:hAnsi="Times New Roman" w:eastAsia="宋体" w:cs="Times New Roman"/>
          <w:color w:val="auto"/>
          <w:sz w:val="24"/>
          <w:highlight w:val="none"/>
        </w:rPr>
        <w:t>执行</w:t>
      </w:r>
      <w:r>
        <w:rPr>
          <w:rFonts w:hint="default" w:ascii="Times New Roman" w:hAnsi="Times New Roman" w:eastAsia="宋体" w:cs="Times New Roman"/>
          <w:color w:val="auto"/>
          <w:sz w:val="24"/>
          <w:highlight w:val="none"/>
          <w:lang w:val="en-US" w:eastAsia="zh-CN"/>
        </w:rPr>
        <w:t>《大气污染物综合排放标准》（GB16297-1996）表2中标准；有组织排放的氨、硫化氢、臭气浓度执行《恶臭污染物排放标准》（GB14554-93）表2中限值要求；天然气燃烧废气颗粒物、二氧化硫、氮氧化物</w:t>
      </w:r>
      <w:r>
        <w:rPr>
          <w:rFonts w:hint="default" w:ascii="Times New Roman" w:hAnsi="Times New Roman" w:cs="Times New Roman"/>
          <w:color w:val="auto"/>
          <w:highlight w:val="none"/>
          <w:lang w:val="en-US" w:eastAsia="zh-CN"/>
        </w:rPr>
        <w:t>排放</w:t>
      </w:r>
      <w:r>
        <w:rPr>
          <w:rFonts w:hint="default" w:ascii="Times New Roman" w:hAnsi="Times New Roman" w:eastAsia="宋体" w:cs="Times New Roman"/>
          <w:color w:val="auto"/>
          <w:sz w:val="24"/>
          <w:highlight w:val="none"/>
          <w:lang w:val="en-US" w:eastAsia="zh-CN"/>
        </w:rPr>
        <w:t>参照执行</w:t>
      </w:r>
      <w:r>
        <w:rPr>
          <w:rFonts w:hint="default" w:ascii="Times New Roman" w:hAnsi="Times New Roman" w:eastAsia="宋体" w:cs="Times New Roman"/>
          <w:color w:val="auto"/>
          <w:sz w:val="24"/>
          <w:highlight w:val="none"/>
          <w:lang w:eastAsia="zh-CN"/>
        </w:rPr>
        <w:t>《工业炉窑大气污染综合治理方案》的通知（皖环函</w:t>
      </w:r>
      <w:r>
        <w:rPr>
          <w:rFonts w:hint="default" w:ascii="Times New Roman" w:hAnsi="Times New Roman" w:eastAsia="宋体" w:cs="Times New Roman"/>
          <w:color w:val="auto"/>
          <w:sz w:val="24"/>
          <w:highlight w:val="none"/>
          <w:lang w:val="en-US" w:eastAsia="zh-CN"/>
        </w:rPr>
        <w:t>[2019]</w:t>
      </w:r>
      <w:r>
        <w:rPr>
          <w:rFonts w:hint="default" w:ascii="Times New Roman" w:hAnsi="Times New Roman" w:eastAsia="宋体" w:cs="Times New Roman"/>
          <w:color w:val="auto"/>
          <w:sz w:val="24"/>
          <w:highlight w:val="none"/>
          <w:lang w:eastAsia="zh-CN"/>
        </w:rPr>
        <w:t>886号）</w:t>
      </w:r>
      <w:r>
        <w:rPr>
          <w:rFonts w:hint="default" w:ascii="Times New Roman" w:hAnsi="Times New Roman" w:eastAsia="宋体" w:cs="Times New Roman"/>
          <w:color w:val="auto"/>
          <w:sz w:val="24"/>
          <w:highlight w:val="none"/>
          <w:lang w:val="en-US" w:eastAsia="zh-CN"/>
        </w:rPr>
        <w:t>中限值要求；由于挤压造粒生产线废气和天然气燃烧废气通过同一根排气筒排放，根据从严执行的原则，挤压造粒生产线废气有组织颗粒物排放执行《工业炉窑大气污染综合治理方案》的通知（皖环函[2019]886号）中限值要求（30mg/m</w:t>
      </w:r>
      <w:r>
        <w:rPr>
          <w:rFonts w:hint="default" w:ascii="Times New Roman" w:hAnsi="Times New Roman" w:eastAsia="宋体" w:cs="Times New Roman"/>
          <w:color w:val="auto"/>
          <w:sz w:val="24"/>
          <w:highlight w:val="none"/>
          <w:vertAlign w:val="superscript"/>
          <w:lang w:val="en-US" w:eastAsia="zh-CN"/>
        </w:rPr>
        <w:t>3</w:t>
      </w:r>
      <w:r>
        <w:rPr>
          <w:rFonts w:hint="default" w:ascii="Times New Roman" w:hAnsi="Times New Roman" w:eastAsia="宋体" w:cs="Times New Roman"/>
          <w:color w:val="auto"/>
          <w:sz w:val="24"/>
          <w:highlight w:val="none"/>
          <w:lang w:val="en-US" w:eastAsia="zh-CN"/>
        </w:rPr>
        <w:t>）。厂界无组织颗粒物</w:t>
      </w:r>
      <w:r>
        <w:rPr>
          <w:rFonts w:hint="default" w:ascii="Times New Roman" w:hAnsi="Times New Roman" w:cs="Times New Roman"/>
          <w:color w:val="auto"/>
          <w:highlight w:val="none"/>
          <w:lang w:val="en-US" w:eastAsia="zh-CN"/>
        </w:rPr>
        <w:t>排放</w:t>
      </w:r>
      <w:r>
        <w:rPr>
          <w:rFonts w:hint="default" w:ascii="Times New Roman" w:hAnsi="Times New Roman" w:eastAsia="宋体" w:cs="Times New Roman"/>
          <w:color w:val="auto"/>
          <w:sz w:val="24"/>
          <w:highlight w:val="none"/>
          <w:lang w:val="en-US" w:eastAsia="zh-CN"/>
        </w:rPr>
        <w:t>执行《大气污染物综合排放标准》（GB16297-1996）表2中无组织排放浓度限值要求；厂界无组织氨、硫化氢、臭气浓度排放执行《恶臭污染物排放标准》（GB14554-93）表1中二级标准限值要求。</w:t>
      </w:r>
      <w:r>
        <w:rPr>
          <w:rFonts w:hint="default" w:ascii="Times New Roman" w:hAnsi="Times New Roman" w:cs="Times New Roman"/>
          <w:bCs/>
          <w:color w:val="auto"/>
          <w:sz w:val="24"/>
        </w:rPr>
        <w:t>具体标准见</w:t>
      </w:r>
      <w:r>
        <w:rPr>
          <w:rFonts w:hint="eastAsia" w:ascii="Times New Roman" w:hAnsi="Times New Roman" w:cs="Times New Roman"/>
          <w:bCs/>
          <w:color w:val="auto"/>
          <w:sz w:val="24"/>
          <w:lang w:eastAsia="zh-CN"/>
        </w:rPr>
        <w:t>下表</w:t>
      </w:r>
      <w:r>
        <w:rPr>
          <w:rFonts w:hint="default" w:ascii="Times New Roman" w:hAnsi="Times New Roman" w:cs="Times New Roman"/>
          <w:bCs/>
          <w:color w:val="auto"/>
          <w:sz w:val="24"/>
        </w:rPr>
        <w:t>。</w:t>
      </w:r>
    </w:p>
    <w:p w14:paraId="72A4F80C">
      <w:pPr>
        <w:jc w:val="center"/>
        <w:rPr>
          <w:rFonts w:hint="default" w:ascii="Times New Roman" w:hAnsi="Times New Roman" w:cs="Times New Roman"/>
          <w:b/>
          <w:color w:val="auto"/>
          <w:sz w:val="24"/>
        </w:rPr>
      </w:pPr>
      <w:r>
        <w:rPr>
          <w:rFonts w:hint="default" w:ascii="Times New Roman" w:hAnsi="Times New Roman" w:cs="Times New Roman"/>
          <w:b/>
          <w:color w:val="auto"/>
          <w:sz w:val="24"/>
        </w:rPr>
        <w:t>表</w:t>
      </w:r>
      <w:r>
        <w:rPr>
          <w:rFonts w:hint="eastAsia" w:ascii="Times New Roman" w:hAnsi="Times New Roman" w:cs="Times New Roman"/>
          <w:b/>
          <w:color w:val="auto"/>
          <w:sz w:val="24"/>
          <w:lang w:val="en-US" w:eastAsia="zh-CN"/>
        </w:rPr>
        <w:t>2</w:t>
      </w:r>
      <w:r>
        <w:rPr>
          <w:rFonts w:hint="default" w:ascii="Times New Roman" w:hAnsi="Times New Roman" w:cs="Times New Roman"/>
          <w:b/>
          <w:color w:val="auto"/>
          <w:sz w:val="24"/>
        </w:rPr>
        <w:t xml:space="preserve">  </w:t>
      </w:r>
      <w:r>
        <w:rPr>
          <w:rFonts w:hint="default" w:ascii="Times New Roman" w:hAnsi="Times New Roman" w:cs="Times New Roman"/>
          <w:b/>
          <w:color w:val="auto"/>
          <w:sz w:val="24"/>
          <w:lang w:eastAsia="zh-CN"/>
        </w:rPr>
        <w:t>项目</w:t>
      </w:r>
      <w:r>
        <w:rPr>
          <w:rFonts w:hint="default" w:ascii="Times New Roman" w:hAnsi="Times New Roman" w:cs="Times New Roman"/>
          <w:b/>
          <w:color w:val="auto"/>
          <w:sz w:val="24"/>
        </w:rPr>
        <w:t>废气排放标准</w:t>
      </w:r>
    </w:p>
    <w:tbl>
      <w:tblPr>
        <w:tblStyle w:val="14"/>
        <w:tblW w:w="518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4"/>
        <w:gridCol w:w="950"/>
        <w:gridCol w:w="1112"/>
        <w:gridCol w:w="1040"/>
        <w:gridCol w:w="961"/>
        <w:gridCol w:w="1335"/>
        <w:gridCol w:w="2904"/>
      </w:tblGrid>
      <w:tr w14:paraId="2F5AFE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blHeader/>
          <w:jc w:val="center"/>
        </w:trPr>
        <w:tc>
          <w:tcPr>
            <w:tcW w:w="520" w:type="pct"/>
            <w:vMerge w:val="restart"/>
            <w:noWrap w:val="0"/>
            <w:vAlign w:val="center"/>
          </w:tcPr>
          <w:p w14:paraId="37B759D4">
            <w:pPr>
              <w:widowControl/>
              <w:adjustRightInd w:val="0"/>
              <w:snapToGrid w:val="0"/>
              <w:spacing w:line="240" w:lineRule="auto"/>
              <w:jc w:val="center"/>
              <w:rPr>
                <w:rFonts w:hint="default" w:ascii="Times New Roman" w:hAnsi="Times New Roman" w:eastAsia="宋体" w:cs="Times New Roman"/>
                <w:b/>
                <w:bCs/>
                <w:color w:val="auto"/>
                <w:kern w:val="0"/>
                <w:sz w:val="21"/>
                <w:szCs w:val="21"/>
                <w:highlight w:val="none"/>
                <w:lang w:val="en-US" w:eastAsia="zh-CN"/>
              </w:rPr>
            </w:pPr>
            <w:r>
              <w:rPr>
                <w:rFonts w:hint="default" w:ascii="Times New Roman" w:hAnsi="Times New Roman" w:eastAsia="宋体" w:cs="Times New Roman"/>
                <w:b/>
                <w:bCs/>
                <w:color w:val="auto"/>
                <w:kern w:val="0"/>
                <w:sz w:val="21"/>
                <w:szCs w:val="21"/>
                <w:highlight w:val="none"/>
                <w:lang w:val="en-US" w:eastAsia="zh-CN"/>
              </w:rPr>
              <w:t>生产线</w:t>
            </w:r>
          </w:p>
        </w:tc>
        <w:tc>
          <w:tcPr>
            <w:tcW w:w="512" w:type="pct"/>
            <w:vMerge w:val="restart"/>
            <w:noWrap w:val="0"/>
            <w:vAlign w:val="center"/>
          </w:tcPr>
          <w:p w14:paraId="3C2F78BE">
            <w:pPr>
              <w:widowControl/>
              <w:adjustRightInd w:val="0"/>
              <w:snapToGrid w:val="0"/>
              <w:spacing w:line="240" w:lineRule="auto"/>
              <w:jc w:val="center"/>
              <w:rPr>
                <w:rFonts w:hint="default" w:ascii="Times New Roman" w:hAnsi="Times New Roman" w:eastAsia="宋体" w:cs="Times New Roman"/>
                <w:bCs/>
                <w:color w:val="auto"/>
                <w:kern w:val="0"/>
                <w:sz w:val="21"/>
                <w:szCs w:val="21"/>
                <w:highlight w:val="none"/>
                <w:lang w:val="en-US"/>
              </w:rPr>
            </w:pPr>
            <w:r>
              <w:rPr>
                <w:rFonts w:hint="default" w:ascii="Times New Roman" w:hAnsi="Times New Roman" w:eastAsia="宋体" w:cs="Times New Roman"/>
                <w:b/>
                <w:bCs w:val="0"/>
                <w:color w:val="auto"/>
                <w:kern w:val="0"/>
                <w:sz w:val="21"/>
                <w:szCs w:val="21"/>
                <w:highlight w:val="none"/>
                <w:lang w:val="en-US" w:eastAsia="zh-CN"/>
              </w:rPr>
              <w:t>污染物</w:t>
            </w:r>
          </w:p>
        </w:tc>
        <w:tc>
          <w:tcPr>
            <w:tcW w:w="600" w:type="pct"/>
            <w:vMerge w:val="restart"/>
            <w:noWrap w:val="0"/>
            <w:vAlign w:val="center"/>
          </w:tcPr>
          <w:p w14:paraId="329356EA">
            <w:pPr>
              <w:widowControl/>
              <w:adjustRightInd w:val="0"/>
              <w:snapToGrid w:val="0"/>
              <w:spacing w:line="240" w:lineRule="auto"/>
              <w:jc w:val="center"/>
              <w:rPr>
                <w:rFonts w:hint="default" w:ascii="Times New Roman" w:hAnsi="Times New Roman" w:eastAsia="宋体" w:cs="Times New Roman"/>
                <w:bCs/>
                <w:color w:val="auto"/>
                <w:kern w:val="0"/>
                <w:sz w:val="21"/>
                <w:szCs w:val="21"/>
                <w:highlight w:val="none"/>
              </w:rPr>
            </w:pPr>
            <w:r>
              <w:rPr>
                <w:rFonts w:hint="default" w:ascii="Times New Roman" w:hAnsi="Times New Roman" w:eastAsia="宋体" w:cs="Times New Roman"/>
                <w:b/>
                <w:bCs w:val="0"/>
                <w:color w:val="auto"/>
                <w:kern w:val="0"/>
                <w:sz w:val="21"/>
                <w:szCs w:val="21"/>
                <w:highlight w:val="none"/>
                <w:lang w:val="en-US" w:eastAsia="zh-CN"/>
              </w:rPr>
              <w:t>最高允许排放浓度</w:t>
            </w:r>
            <w:r>
              <w:rPr>
                <w:rFonts w:hint="default" w:ascii="Times New Roman" w:hAnsi="Times New Roman" w:eastAsia="宋体" w:cs="Times New Roman"/>
                <w:b/>
                <w:bCs w:val="0"/>
                <w:color w:val="auto"/>
                <w:kern w:val="0"/>
                <w:sz w:val="21"/>
                <w:szCs w:val="21"/>
                <w:highlight w:val="none"/>
              </w:rPr>
              <w:t>（mg/m</w:t>
            </w:r>
            <w:r>
              <w:rPr>
                <w:rFonts w:hint="default" w:ascii="Times New Roman" w:hAnsi="Times New Roman" w:eastAsia="宋体" w:cs="Times New Roman"/>
                <w:b/>
                <w:bCs w:val="0"/>
                <w:color w:val="auto"/>
                <w:kern w:val="0"/>
                <w:sz w:val="21"/>
                <w:szCs w:val="21"/>
                <w:highlight w:val="none"/>
                <w:vertAlign w:val="superscript"/>
              </w:rPr>
              <w:t>3</w:t>
            </w:r>
            <w:r>
              <w:rPr>
                <w:rFonts w:hint="default" w:ascii="Times New Roman" w:hAnsi="Times New Roman" w:eastAsia="宋体" w:cs="Times New Roman"/>
                <w:b/>
                <w:bCs w:val="0"/>
                <w:color w:val="auto"/>
                <w:kern w:val="0"/>
                <w:sz w:val="21"/>
                <w:szCs w:val="21"/>
                <w:highlight w:val="none"/>
              </w:rPr>
              <w:t>）</w:t>
            </w:r>
          </w:p>
        </w:tc>
        <w:tc>
          <w:tcPr>
            <w:tcW w:w="1080" w:type="pct"/>
            <w:gridSpan w:val="2"/>
            <w:noWrap w:val="0"/>
            <w:vAlign w:val="center"/>
          </w:tcPr>
          <w:p w14:paraId="13294654">
            <w:pPr>
              <w:widowControl/>
              <w:adjustRightInd w:val="0"/>
              <w:snapToGrid w:val="0"/>
              <w:spacing w:line="240" w:lineRule="auto"/>
              <w:jc w:val="center"/>
              <w:rPr>
                <w:rFonts w:hint="default" w:ascii="Times New Roman" w:hAnsi="Times New Roman" w:eastAsia="宋体" w:cs="Times New Roman"/>
                <w:b/>
                <w:bCs w:val="0"/>
                <w:color w:val="auto"/>
                <w:kern w:val="0"/>
                <w:sz w:val="21"/>
                <w:szCs w:val="21"/>
                <w:highlight w:val="none"/>
                <w:lang w:val="en-US" w:eastAsia="zh-CN"/>
              </w:rPr>
            </w:pPr>
            <w:r>
              <w:rPr>
                <w:rFonts w:hint="default" w:ascii="Times New Roman" w:hAnsi="Times New Roman" w:eastAsia="宋体" w:cs="Times New Roman"/>
                <w:b/>
                <w:bCs w:val="0"/>
                <w:color w:val="auto"/>
                <w:kern w:val="0"/>
                <w:sz w:val="21"/>
                <w:szCs w:val="21"/>
                <w:highlight w:val="none"/>
                <w:lang w:val="en-US" w:eastAsia="zh-CN"/>
              </w:rPr>
              <w:t>最高允许排放速率</w:t>
            </w:r>
          </w:p>
        </w:tc>
        <w:tc>
          <w:tcPr>
            <w:tcW w:w="720" w:type="pct"/>
            <w:noWrap w:val="0"/>
            <w:vAlign w:val="center"/>
          </w:tcPr>
          <w:p w14:paraId="21986C7B">
            <w:pPr>
              <w:widowControl/>
              <w:adjustRightInd w:val="0"/>
              <w:snapToGrid w:val="0"/>
              <w:spacing w:line="240" w:lineRule="auto"/>
              <w:jc w:val="center"/>
              <w:rPr>
                <w:rFonts w:hint="default" w:ascii="Times New Roman" w:hAnsi="Times New Roman" w:eastAsia="宋体" w:cs="Times New Roman"/>
                <w:b/>
                <w:bCs/>
                <w:color w:val="auto"/>
                <w:kern w:val="0"/>
                <w:sz w:val="21"/>
                <w:szCs w:val="21"/>
                <w:highlight w:val="none"/>
                <w:lang w:val="en-US" w:eastAsia="zh-CN"/>
              </w:rPr>
            </w:pPr>
            <w:r>
              <w:rPr>
                <w:rFonts w:hint="default" w:ascii="Times New Roman" w:hAnsi="Times New Roman" w:eastAsia="宋体" w:cs="Times New Roman"/>
                <w:b/>
                <w:bCs/>
                <w:color w:val="auto"/>
                <w:kern w:val="0"/>
                <w:sz w:val="21"/>
                <w:szCs w:val="21"/>
                <w:highlight w:val="none"/>
                <w:lang w:val="en-US" w:eastAsia="zh-CN"/>
              </w:rPr>
              <w:t>无组织排放监控浓度限值</w:t>
            </w:r>
          </w:p>
        </w:tc>
        <w:tc>
          <w:tcPr>
            <w:tcW w:w="1566" w:type="pct"/>
            <w:vMerge w:val="restart"/>
            <w:noWrap w:val="0"/>
            <w:vAlign w:val="center"/>
          </w:tcPr>
          <w:p w14:paraId="4DD43843">
            <w:pPr>
              <w:widowControl/>
              <w:adjustRightInd w:val="0"/>
              <w:snapToGrid w:val="0"/>
              <w:spacing w:line="240" w:lineRule="auto"/>
              <w:jc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
                <w:bCs/>
                <w:color w:val="auto"/>
                <w:kern w:val="0"/>
                <w:sz w:val="21"/>
                <w:szCs w:val="21"/>
                <w:highlight w:val="none"/>
                <w:lang w:val="en-US" w:eastAsia="zh-CN"/>
              </w:rPr>
              <w:t>标准名称</w:t>
            </w:r>
          </w:p>
        </w:tc>
      </w:tr>
      <w:tr w14:paraId="0AD849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520" w:type="pct"/>
            <w:vMerge w:val="continue"/>
            <w:noWrap w:val="0"/>
            <w:vAlign w:val="center"/>
          </w:tcPr>
          <w:p w14:paraId="6F1A1099">
            <w:pPr>
              <w:widowControl/>
              <w:adjustRightInd w:val="0"/>
              <w:snapToGrid w:val="0"/>
              <w:spacing w:line="240" w:lineRule="auto"/>
              <w:jc w:val="center"/>
              <w:rPr>
                <w:rFonts w:hint="default" w:ascii="Times New Roman" w:hAnsi="Times New Roman" w:eastAsia="宋体" w:cs="Times New Roman"/>
                <w:bCs/>
                <w:color w:val="auto"/>
                <w:kern w:val="0"/>
                <w:sz w:val="21"/>
                <w:szCs w:val="21"/>
                <w:highlight w:val="none"/>
              </w:rPr>
            </w:pPr>
          </w:p>
        </w:tc>
        <w:tc>
          <w:tcPr>
            <w:tcW w:w="512" w:type="pct"/>
            <w:vMerge w:val="continue"/>
            <w:noWrap w:val="0"/>
            <w:vAlign w:val="center"/>
          </w:tcPr>
          <w:p w14:paraId="327F4CBC">
            <w:pPr>
              <w:widowControl/>
              <w:adjustRightInd w:val="0"/>
              <w:snapToGrid w:val="0"/>
              <w:spacing w:line="240" w:lineRule="auto"/>
              <w:jc w:val="center"/>
              <w:rPr>
                <w:rFonts w:hint="default" w:ascii="Times New Roman" w:hAnsi="Times New Roman" w:eastAsia="宋体" w:cs="Times New Roman"/>
                <w:bCs/>
                <w:color w:val="auto"/>
                <w:kern w:val="0"/>
                <w:sz w:val="21"/>
                <w:szCs w:val="21"/>
                <w:highlight w:val="none"/>
              </w:rPr>
            </w:pPr>
          </w:p>
        </w:tc>
        <w:tc>
          <w:tcPr>
            <w:tcW w:w="600" w:type="pct"/>
            <w:vMerge w:val="continue"/>
            <w:noWrap w:val="0"/>
            <w:vAlign w:val="center"/>
          </w:tcPr>
          <w:p w14:paraId="6FF6645B">
            <w:pPr>
              <w:widowControl/>
              <w:adjustRightInd w:val="0"/>
              <w:snapToGrid w:val="0"/>
              <w:spacing w:line="240" w:lineRule="auto"/>
              <w:jc w:val="center"/>
              <w:rPr>
                <w:rFonts w:hint="default" w:ascii="Times New Roman" w:hAnsi="Times New Roman" w:eastAsia="宋体" w:cs="Times New Roman"/>
                <w:bCs/>
                <w:color w:val="auto"/>
                <w:kern w:val="0"/>
                <w:sz w:val="21"/>
                <w:szCs w:val="21"/>
                <w:highlight w:val="none"/>
              </w:rPr>
            </w:pPr>
          </w:p>
        </w:tc>
        <w:tc>
          <w:tcPr>
            <w:tcW w:w="561" w:type="pct"/>
            <w:noWrap w:val="0"/>
            <w:vAlign w:val="center"/>
          </w:tcPr>
          <w:p w14:paraId="1D3358F3">
            <w:pPr>
              <w:widowControl/>
              <w:adjustRightInd w:val="0"/>
              <w:snapToGrid w:val="0"/>
              <w:spacing w:line="240" w:lineRule="auto"/>
              <w:jc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
                <w:bCs w:val="0"/>
                <w:color w:val="auto"/>
                <w:kern w:val="0"/>
                <w:sz w:val="21"/>
                <w:szCs w:val="21"/>
                <w:highlight w:val="none"/>
                <w:lang w:val="en-US" w:eastAsia="zh-CN"/>
              </w:rPr>
              <w:t>排气筒高度（m）</w:t>
            </w:r>
          </w:p>
        </w:tc>
        <w:tc>
          <w:tcPr>
            <w:tcW w:w="518" w:type="pct"/>
            <w:noWrap w:val="0"/>
            <w:vAlign w:val="center"/>
          </w:tcPr>
          <w:p w14:paraId="2E3EF9F2">
            <w:pPr>
              <w:widowControl/>
              <w:adjustRightInd w:val="0"/>
              <w:snapToGrid w:val="0"/>
              <w:spacing w:line="240" w:lineRule="auto"/>
              <w:jc w:val="center"/>
              <w:rPr>
                <w:rFonts w:hint="default" w:ascii="Times New Roman" w:hAnsi="Times New Roman" w:eastAsia="宋体" w:cs="Times New Roman"/>
                <w:b/>
                <w:bCs w:val="0"/>
                <w:color w:val="auto"/>
                <w:kern w:val="0"/>
                <w:sz w:val="21"/>
                <w:szCs w:val="21"/>
                <w:highlight w:val="none"/>
                <w:lang w:val="en-US" w:eastAsia="zh-CN" w:bidi="ar-SA"/>
              </w:rPr>
            </w:pPr>
            <w:r>
              <w:rPr>
                <w:rFonts w:hint="default" w:ascii="Times New Roman" w:hAnsi="Times New Roman" w:eastAsia="宋体" w:cs="Times New Roman"/>
                <w:b/>
                <w:bCs w:val="0"/>
                <w:color w:val="auto"/>
                <w:kern w:val="0"/>
                <w:sz w:val="21"/>
                <w:szCs w:val="21"/>
                <w:highlight w:val="none"/>
                <w:lang w:val="en-US" w:eastAsia="zh-CN" w:bidi="ar-SA"/>
              </w:rPr>
              <w:t>二级</w:t>
            </w:r>
            <w:r>
              <w:rPr>
                <w:rFonts w:hint="default" w:ascii="Times New Roman" w:hAnsi="Times New Roman" w:eastAsia="宋体" w:cs="Times New Roman"/>
                <w:b/>
                <w:bCs w:val="0"/>
                <w:color w:val="auto"/>
                <w:kern w:val="0"/>
                <w:sz w:val="21"/>
                <w:szCs w:val="21"/>
                <w:highlight w:val="none"/>
                <w:lang w:val="en-US" w:eastAsia="zh-CN"/>
              </w:rPr>
              <w:t>（kg/h）</w:t>
            </w:r>
          </w:p>
        </w:tc>
        <w:tc>
          <w:tcPr>
            <w:tcW w:w="720" w:type="pct"/>
            <w:noWrap w:val="0"/>
            <w:vAlign w:val="center"/>
          </w:tcPr>
          <w:p w14:paraId="1D903D8B">
            <w:pPr>
              <w:widowControl/>
              <w:adjustRightInd w:val="0"/>
              <w:snapToGrid w:val="0"/>
              <w:spacing w:line="240" w:lineRule="auto"/>
              <w:jc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
                <w:bCs w:val="0"/>
                <w:color w:val="auto"/>
                <w:kern w:val="0"/>
                <w:sz w:val="21"/>
                <w:szCs w:val="21"/>
                <w:highlight w:val="none"/>
                <w:lang w:val="en-US" w:eastAsia="zh-CN"/>
              </w:rPr>
              <w:t>周界外浓度最高点（mg/m</w:t>
            </w:r>
            <w:r>
              <w:rPr>
                <w:rFonts w:hint="default" w:ascii="Times New Roman" w:hAnsi="Times New Roman" w:eastAsia="宋体" w:cs="Times New Roman"/>
                <w:b/>
                <w:bCs w:val="0"/>
                <w:color w:val="auto"/>
                <w:kern w:val="0"/>
                <w:sz w:val="21"/>
                <w:szCs w:val="21"/>
                <w:highlight w:val="none"/>
                <w:vertAlign w:val="superscript"/>
                <w:lang w:val="en-US" w:eastAsia="zh-CN"/>
              </w:rPr>
              <w:t>3</w:t>
            </w:r>
            <w:r>
              <w:rPr>
                <w:rFonts w:hint="default" w:ascii="Times New Roman" w:hAnsi="Times New Roman" w:eastAsia="宋体" w:cs="Times New Roman"/>
                <w:b/>
                <w:bCs w:val="0"/>
                <w:color w:val="auto"/>
                <w:kern w:val="0"/>
                <w:sz w:val="21"/>
                <w:szCs w:val="21"/>
                <w:highlight w:val="none"/>
                <w:lang w:val="en-US" w:eastAsia="zh-CN"/>
              </w:rPr>
              <w:t>）</w:t>
            </w:r>
          </w:p>
        </w:tc>
        <w:tc>
          <w:tcPr>
            <w:tcW w:w="1566" w:type="pct"/>
            <w:vMerge w:val="continue"/>
            <w:noWrap w:val="0"/>
            <w:vAlign w:val="center"/>
          </w:tcPr>
          <w:p w14:paraId="578C9592">
            <w:pPr>
              <w:widowControl/>
              <w:adjustRightInd w:val="0"/>
              <w:snapToGrid w:val="0"/>
              <w:spacing w:line="240" w:lineRule="auto"/>
              <w:jc w:val="center"/>
              <w:rPr>
                <w:rFonts w:hint="default" w:ascii="Times New Roman" w:hAnsi="Times New Roman" w:eastAsia="宋体" w:cs="Times New Roman"/>
                <w:bCs/>
                <w:color w:val="auto"/>
                <w:kern w:val="0"/>
                <w:sz w:val="21"/>
                <w:szCs w:val="21"/>
                <w:highlight w:val="none"/>
                <w:lang w:val="en-US" w:eastAsia="zh-CN"/>
              </w:rPr>
            </w:pPr>
          </w:p>
        </w:tc>
      </w:tr>
      <w:tr w14:paraId="52ED7A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520" w:type="pct"/>
            <w:vMerge w:val="restart"/>
            <w:noWrap w:val="0"/>
            <w:vAlign w:val="center"/>
          </w:tcPr>
          <w:p w14:paraId="7A33A453">
            <w:pPr>
              <w:widowControl/>
              <w:adjustRightInd w:val="0"/>
              <w:snapToGrid w:val="0"/>
              <w:spacing w:line="240" w:lineRule="auto"/>
              <w:jc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挤压造粒生产线废气</w:t>
            </w:r>
          </w:p>
        </w:tc>
        <w:tc>
          <w:tcPr>
            <w:tcW w:w="512" w:type="pct"/>
            <w:vMerge w:val="restart"/>
            <w:noWrap w:val="0"/>
            <w:vAlign w:val="center"/>
          </w:tcPr>
          <w:p w14:paraId="52A78685">
            <w:pPr>
              <w:widowControl/>
              <w:adjustRightInd w:val="0"/>
              <w:snapToGrid w:val="0"/>
              <w:spacing w:line="240" w:lineRule="auto"/>
              <w:jc w:val="center"/>
              <w:rPr>
                <w:rFonts w:hint="default" w:ascii="Times New Roman" w:hAnsi="Times New Roman" w:eastAsia="宋体" w:cs="Times New Roman"/>
                <w:bCs/>
                <w:color w:val="auto"/>
                <w:kern w:val="0"/>
                <w:sz w:val="21"/>
                <w:szCs w:val="21"/>
                <w:highlight w:val="none"/>
              </w:rPr>
            </w:pPr>
            <w:r>
              <w:rPr>
                <w:rFonts w:hint="default" w:ascii="Times New Roman" w:hAnsi="Times New Roman" w:eastAsia="宋体" w:cs="Times New Roman"/>
                <w:bCs/>
                <w:color w:val="auto"/>
                <w:kern w:val="0"/>
                <w:sz w:val="21"/>
                <w:szCs w:val="21"/>
                <w:highlight w:val="none"/>
                <w:lang w:val="en-US" w:eastAsia="zh-CN"/>
              </w:rPr>
              <w:t>颗粒物</w:t>
            </w:r>
          </w:p>
        </w:tc>
        <w:tc>
          <w:tcPr>
            <w:tcW w:w="600" w:type="pct"/>
            <w:noWrap w:val="0"/>
            <w:vAlign w:val="center"/>
          </w:tcPr>
          <w:p w14:paraId="5EE0BB4A">
            <w:pPr>
              <w:widowControl/>
              <w:adjustRightInd w:val="0"/>
              <w:snapToGrid w:val="0"/>
              <w:spacing w:line="240" w:lineRule="auto"/>
              <w:jc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30</w:t>
            </w:r>
          </w:p>
        </w:tc>
        <w:tc>
          <w:tcPr>
            <w:tcW w:w="561" w:type="pct"/>
            <w:vMerge w:val="restart"/>
            <w:noWrap w:val="0"/>
            <w:vAlign w:val="center"/>
          </w:tcPr>
          <w:p w14:paraId="49B8B2A5">
            <w:pPr>
              <w:widowControl/>
              <w:adjustRightInd w:val="0"/>
              <w:snapToGrid w:val="0"/>
              <w:spacing w:line="240" w:lineRule="auto"/>
              <w:jc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25</w:t>
            </w:r>
          </w:p>
        </w:tc>
        <w:tc>
          <w:tcPr>
            <w:tcW w:w="518" w:type="pct"/>
            <w:noWrap w:val="0"/>
            <w:vAlign w:val="center"/>
          </w:tcPr>
          <w:p w14:paraId="31F1F857">
            <w:pPr>
              <w:widowControl/>
              <w:adjustRightInd w:val="0"/>
              <w:snapToGrid w:val="0"/>
              <w:spacing w:line="240" w:lineRule="auto"/>
              <w:jc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w:t>
            </w:r>
          </w:p>
        </w:tc>
        <w:tc>
          <w:tcPr>
            <w:tcW w:w="720" w:type="pct"/>
            <w:noWrap w:val="0"/>
            <w:vAlign w:val="center"/>
          </w:tcPr>
          <w:p w14:paraId="20EA84ED">
            <w:pPr>
              <w:widowControl/>
              <w:adjustRightInd w:val="0"/>
              <w:snapToGrid w:val="0"/>
              <w:spacing w:line="240" w:lineRule="auto"/>
              <w:jc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w:t>
            </w:r>
          </w:p>
        </w:tc>
        <w:tc>
          <w:tcPr>
            <w:tcW w:w="1566" w:type="pct"/>
            <w:noWrap w:val="0"/>
            <w:vAlign w:val="center"/>
          </w:tcPr>
          <w:p w14:paraId="156B4955">
            <w:pPr>
              <w:widowControl/>
              <w:adjustRightInd w:val="0"/>
              <w:snapToGrid w:val="0"/>
              <w:spacing w:line="240" w:lineRule="auto"/>
              <w:jc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rPr>
              <w:t>《工业炉窑大气污染综合治理方案》的通知</w:t>
            </w:r>
            <w:r>
              <w:rPr>
                <w:rFonts w:hint="default" w:ascii="Times New Roman" w:hAnsi="Times New Roman" w:eastAsia="宋体" w:cs="Times New Roman"/>
                <w:bCs/>
                <w:color w:val="auto"/>
                <w:kern w:val="0"/>
                <w:sz w:val="21"/>
                <w:szCs w:val="21"/>
                <w:highlight w:val="none"/>
                <w:lang w:eastAsia="zh-CN"/>
              </w:rPr>
              <w:t>（</w:t>
            </w:r>
            <w:r>
              <w:rPr>
                <w:rFonts w:hint="default" w:ascii="Times New Roman" w:hAnsi="Times New Roman" w:eastAsia="宋体" w:cs="Times New Roman"/>
                <w:bCs/>
                <w:color w:val="auto"/>
                <w:kern w:val="0"/>
                <w:sz w:val="21"/>
                <w:szCs w:val="21"/>
                <w:highlight w:val="none"/>
              </w:rPr>
              <w:t>皖环函</w:t>
            </w:r>
            <w:r>
              <w:rPr>
                <w:rFonts w:hint="default" w:ascii="Times New Roman" w:hAnsi="Times New Roman" w:eastAsia="宋体" w:cs="Times New Roman"/>
                <w:bCs/>
                <w:color w:val="auto"/>
                <w:kern w:val="0"/>
                <w:sz w:val="21"/>
                <w:szCs w:val="21"/>
                <w:highlight w:val="none"/>
                <w:lang w:val="en-US" w:eastAsia="zh-CN"/>
              </w:rPr>
              <w:t>[2019]</w:t>
            </w:r>
            <w:r>
              <w:rPr>
                <w:rFonts w:hint="default" w:ascii="Times New Roman" w:hAnsi="Times New Roman" w:eastAsia="宋体" w:cs="Times New Roman"/>
                <w:bCs/>
                <w:color w:val="auto"/>
                <w:kern w:val="0"/>
                <w:sz w:val="21"/>
                <w:szCs w:val="21"/>
                <w:highlight w:val="none"/>
              </w:rPr>
              <w:t>886号</w:t>
            </w:r>
            <w:r>
              <w:rPr>
                <w:rFonts w:hint="default" w:ascii="Times New Roman" w:hAnsi="Times New Roman" w:eastAsia="宋体" w:cs="Times New Roman"/>
                <w:bCs/>
                <w:color w:val="auto"/>
                <w:kern w:val="0"/>
                <w:sz w:val="21"/>
                <w:szCs w:val="21"/>
                <w:highlight w:val="none"/>
                <w:lang w:eastAsia="zh-CN"/>
              </w:rPr>
              <w:t>）</w:t>
            </w:r>
          </w:p>
        </w:tc>
      </w:tr>
      <w:tr w14:paraId="7C52BA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520" w:type="pct"/>
            <w:vMerge w:val="continue"/>
            <w:noWrap w:val="0"/>
            <w:vAlign w:val="center"/>
          </w:tcPr>
          <w:p w14:paraId="75166652">
            <w:pPr>
              <w:widowControl/>
              <w:adjustRightInd w:val="0"/>
              <w:snapToGrid w:val="0"/>
              <w:spacing w:line="240" w:lineRule="auto"/>
              <w:jc w:val="center"/>
              <w:rPr>
                <w:rFonts w:hint="default" w:ascii="Times New Roman" w:hAnsi="Times New Roman" w:eastAsia="宋体" w:cs="Times New Roman"/>
                <w:bCs/>
                <w:color w:val="auto"/>
                <w:kern w:val="0"/>
                <w:sz w:val="21"/>
                <w:szCs w:val="21"/>
                <w:highlight w:val="none"/>
                <w:lang w:val="en-US" w:eastAsia="zh-CN"/>
              </w:rPr>
            </w:pPr>
          </w:p>
        </w:tc>
        <w:tc>
          <w:tcPr>
            <w:tcW w:w="512" w:type="pct"/>
            <w:vMerge w:val="continue"/>
            <w:noWrap w:val="0"/>
            <w:vAlign w:val="center"/>
          </w:tcPr>
          <w:p w14:paraId="46B8AE22">
            <w:pPr>
              <w:widowControl/>
              <w:adjustRightInd w:val="0"/>
              <w:snapToGrid w:val="0"/>
              <w:spacing w:line="240" w:lineRule="auto"/>
              <w:jc w:val="center"/>
              <w:rPr>
                <w:rFonts w:hint="default" w:ascii="Times New Roman" w:hAnsi="Times New Roman" w:eastAsia="宋体" w:cs="Times New Roman"/>
                <w:bCs/>
                <w:color w:val="auto"/>
                <w:kern w:val="0"/>
                <w:sz w:val="21"/>
                <w:szCs w:val="21"/>
                <w:highlight w:val="none"/>
                <w:lang w:val="en-US" w:eastAsia="zh-CN"/>
              </w:rPr>
            </w:pPr>
          </w:p>
        </w:tc>
        <w:tc>
          <w:tcPr>
            <w:tcW w:w="600" w:type="pct"/>
            <w:noWrap w:val="0"/>
            <w:vAlign w:val="center"/>
          </w:tcPr>
          <w:p w14:paraId="68A4EBC2">
            <w:pPr>
              <w:widowControl/>
              <w:adjustRightInd w:val="0"/>
              <w:snapToGrid w:val="0"/>
              <w:spacing w:line="240" w:lineRule="auto"/>
              <w:jc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w:t>
            </w:r>
          </w:p>
        </w:tc>
        <w:tc>
          <w:tcPr>
            <w:tcW w:w="561" w:type="pct"/>
            <w:vMerge w:val="continue"/>
            <w:noWrap w:val="0"/>
            <w:vAlign w:val="center"/>
          </w:tcPr>
          <w:p w14:paraId="45BBD4C3">
            <w:pPr>
              <w:widowControl/>
              <w:adjustRightInd w:val="0"/>
              <w:snapToGrid w:val="0"/>
              <w:spacing w:line="240" w:lineRule="auto"/>
              <w:jc w:val="center"/>
              <w:rPr>
                <w:rFonts w:hint="default" w:ascii="Times New Roman" w:hAnsi="Times New Roman" w:eastAsia="宋体" w:cs="Times New Roman"/>
                <w:bCs/>
                <w:color w:val="auto"/>
                <w:kern w:val="0"/>
                <w:sz w:val="21"/>
                <w:szCs w:val="21"/>
                <w:highlight w:val="none"/>
                <w:lang w:val="en-US" w:eastAsia="zh-CN"/>
              </w:rPr>
            </w:pPr>
          </w:p>
        </w:tc>
        <w:tc>
          <w:tcPr>
            <w:tcW w:w="518" w:type="pct"/>
            <w:noWrap w:val="0"/>
            <w:vAlign w:val="center"/>
          </w:tcPr>
          <w:p w14:paraId="6F408865">
            <w:pPr>
              <w:widowControl/>
              <w:adjustRightInd w:val="0"/>
              <w:snapToGrid w:val="0"/>
              <w:spacing w:line="240" w:lineRule="auto"/>
              <w:jc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14.45*</w:t>
            </w:r>
          </w:p>
        </w:tc>
        <w:tc>
          <w:tcPr>
            <w:tcW w:w="720" w:type="pct"/>
            <w:noWrap w:val="0"/>
            <w:vAlign w:val="center"/>
          </w:tcPr>
          <w:p w14:paraId="4D2BF15C">
            <w:pPr>
              <w:widowControl/>
              <w:adjustRightInd w:val="0"/>
              <w:snapToGrid w:val="0"/>
              <w:spacing w:line="240" w:lineRule="auto"/>
              <w:jc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1.0</w:t>
            </w:r>
          </w:p>
        </w:tc>
        <w:tc>
          <w:tcPr>
            <w:tcW w:w="1566" w:type="pct"/>
            <w:noWrap w:val="0"/>
            <w:vAlign w:val="center"/>
          </w:tcPr>
          <w:p w14:paraId="45116C41">
            <w:pPr>
              <w:widowControl/>
              <w:adjustRightInd w:val="0"/>
              <w:snapToGrid w:val="0"/>
              <w:spacing w:line="240" w:lineRule="auto"/>
              <w:jc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《大气污染物综合排放标准》（GB16297-1996）表2中无组织排放监控浓度限值</w:t>
            </w:r>
          </w:p>
        </w:tc>
      </w:tr>
      <w:tr w14:paraId="7D09F5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520" w:type="pct"/>
            <w:vMerge w:val="continue"/>
            <w:noWrap w:val="0"/>
            <w:vAlign w:val="center"/>
          </w:tcPr>
          <w:p w14:paraId="0C2744AA">
            <w:pPr>
              <w:widowControl/>
              <w:adjustRightInd w:val="0"/>
              <w:snapToGrid w:val="0"/>
              <w:spacing w:line="240" w:lineRule="auto"/>
              <w:jc w:val="center"/>
              <w:rPr>
                <w:rFonts w:hint="default" w:ascii="Times New Roman" w:hAnsi="Times New Roman" w:eastAsia="宋体" w:cs="Times New Roman"/>
                <w:bCs/>
                <w:color w:val="auto"/>
                <w:kern w:val="0"/>
                <w:sz w:val="21"/>
                <w:szCs w:val="21"/>
                <w:highlight w:val="none"/>
                <w:lang w:val="en-US" w:eastAsia="zh-CN"/>
              </w:rPr>
            </w:pPr>
          </w:p>
        </w:tc>
        <w:tc>
          <w:tcPr>
            <w:tcW w:w="512" w:type="pct"/>
            <w:noWrap w:val="0"/>
            <w:vAlign w:val="center"/>
          </w:tcPr>
          <w:p w14:paraId="256BECF7">
            <w:pPr>
              <w:widowControl/>
              <w:adjustRightInd w:val="0"/>
              <w:snapToGrid w:val="0"/>
              <w:spacing w:line="240" w:lineRule="auto"/>
              <w:jc w:val="center"/>
              <w:rPr>
                <w:rFonts w:hint="default" w:ascii="Times New Roman" w:hAnsi="Times New Roman" w:eastAsia="宋体" w:cs="Times New Roman"/>
                <w:bCs/>
                <w:color w:val="auto"/>
                <w:kern w:val="0"/>
                <w:sz w:val="21"/>
                <w:szCs w:val="21"/>
                <w:highlight w:val="none"/>
                <w:lang w:val="en-US" w:eastAsia="zh-CN" w:bidi="ar-SA"/>
              </w:rPr>
            </w:pPr>
            <w:r>
              <w:rPr>
                <w:rFonts w:hint="default" w:ascii="Times New Roman" w:hAnsi="Times New Roman" w:eastAsia="宋体" w:cs="Times New Roman"/>
                <w:bCs/>
                <w:color w:val="auto"/>
                <w:kern w:val="0"/>
                <w:sz w:val="21"/>
                <w:szCs w:val="21"/>
                <w:highlight w:val="none"/>
                <w:lang w:val="en-US" w:eastAsia="zh-CN"/>
              </w:rPr>
              <w:t>二氧化硫</w:t>
            </w:r>
          </w:p>
        </w:tc>
        <w:tc>
          <w:tcPr>
            <w:tcW w:w="600" w:type="pct"/>
            <w:noWrap w:val="0"/>
            <w:vAlign w:val="center"/>
          </w:tcPr>
          <w:p w14:paraId="69EA6D76">
            <w:pPr>
              <w:widowControl/>
              <w:adjustRightInd w:val="0"/>
              <w:snapToGrid w:val="0"/>
              <w:spacing w:line="240" w:lineRule="auto"/>
              <w:jc w:val="center"/>
              <w:rPr>
                <w:rFonts w:hint="default" w:ascii="Times New Roman" w:hAnsi="Times New Roman" w:eastAsia="宋体" w:cs="Times New Roman"/>
                <w:bCs/>
                <w:color w:val="auto"/>
                <w:kern w:val="0"/>
                <w:sz w:val="21"/>
                <w:szCs w:val="21"/>
                <w:highlight w:val="none"/>
                <w:lang w:val="en-US" w:eastAsia="zh-CN" w:bidi="ar-SA"/>
              </w:rPr>
            </w:pPr>
            <w:r>
              <w:rPr>
                <w:rFonts w:hint="default" w:ascii="Times New Roman" w:hAnsi="Times New Roman" w:eastAsia="宋体" w:cs="Times New Roman"/>
                <w:bCs/>
                <w:color w:val="auto"/>
                <w:kern w:val="0"/>
                <w:sz w:val="21"/>
                <w:szCs w:val="21"/>
                <w:highlight w:val="none"/>
                <w:lang w:val="en-US" w:eastAsia="zh-CN"/>
              </w:rPr>
              <w:t>200</w:t>
            </w:r>
          </w:p>
        </w:tc>
        <w:tc>
          <w:tcPr>
            <w:tcW w:w="561" w:type="pct"/>
            <w:noWrap w:val="0"/>
            <w:vAlign w:val="center"/>
          </w:tcPr>
          <w:p w14:paraId="7CA80AC7">
            <w:pPr>
              <w:widowControl/>
              <w:adjustRightInd w:val="0"/>
              <w:snapToGrid w:val="0"/>
              <w:spacing w:line="240" w:lineRule="auto"/>
              <w:jc w:val="center"/>
              <w:rPr>
                <w:rFonts w:hint="default" w:ascii="Times New Roman" w:hAnsi="Times New Roman" w:eastAsia="宋体" w:cs="Times New Roman"/>
                <w:bCs/>
                <w:color w:val="auto"/>
                <w:kern w:val="0"/>
                <w:sz w:val="21"/>
                <w:szCs w:val="21"/>
                <w:highlight w:val="none"/>
                <w:lang w:val="en-US" w:eastAsia="zh-CN" w:bidi="ar-SA"/>
              </w:rPr>
            </w:pPr>
            <w:r>
              <w:rPr>
                <w:rFonts w:hint="default" w:ascii="Times New Roman" w:hAnsi="Times New Roman" w:eastAsia="宋体" w:cs="Times New Roman"/>
                <w:bCs/>
                <w:color w:val="auto"/>
                <w:kern w:val="0"/>
                <w:sz w:val="21"/>
                <w:szCs w:val="21"/>
                <w:highlight w:val="none"/>
                <w:lang w:val="en-US" w:eastAsia="zh-CN"/>
              </w:rPr>
              <w:t>/</w:t>
            </w:r>
          </w:p>
        </w:tc>
        <w:tc>
          <w:tcPr>
            <w:tcW w:w="518" w:type="pct"/>
            <w:noWrap w:val="0"/>
            <w:vAlign w:val="center"/>
          </w:tcPr>
          <w:p w14:paraId="090FA955">
            <w:pPr>
              <w:widowControl/>
              <w:adjustRightInd w:val="0"/>
              <w:snapToGrid w:val="0"/>
              <w:spacing w:line="240" w:lineRule="auto"/>
              <w:jc w:val="center"/>
              <w:rPr>
                <w:rFonts w:hint="default" w:ascii="Times New Roman" w:hAnsi="Times New Roman" w:eastAsia="宋体" w:cs="Times New Roman"/>
                <w:bCs/>
                <w:color w:val="auto"/>
                <w:kern w:val="0"/>
                <w:sz w:val="21"/>
                <w:szCs w:val="21"/>
                <w:highlight w:val="none"/>
                <w:lang w:val="en-US" w:eastAsia="zh-CN" w:bidi="ar-SA"/>
              </w:rPr>
            </w:pPr>
            <w:r>
              <w:rPr>
                <w:rFonts w:hint="default" w:ascii="Times New Roman" w:hAnsi="Times New Roman" w:eastAsia="宋体" w:cs="Times New Roman"/>
                <w:bCs/>
                <w:color w:val="auto"/>
                <w:kern w:val="0"/>
                <w:sz w:val="21"/>
                <w:szCs w:val="21"/>
                <w:highlight w:val="none"/>
                <w:lang w:val="en-US" w:eastAsia="zh-CN"/>
              </w:rPr>
              <w:t>/</w:t>
            </w:r>
          </w:p>
        </w:tc>
        <w:tc>
          <w:tcPr>
            <w:tcW w:w="720" w:type="pct"/>
            <w:noWrap w:val="0"/>
            <w:vAlign w:val="center"/>
          </w:tcPr>
          <w:p w14:paraId="2058E7B4">
            <w:pPr>
              <w:widowControl/>
              <w:adjustRightInd w:val="0"/>
              <w:snapToGrid w:val="0"/>
              <w:spacing w:line="240" w:lineRule="auto"/>
              <w:jc w:val="center"/>
              <w:rPr>
                <w:rFonts w:hint="default" w:ascii="Times New Roman" w:hAnsi="Times New Roman" w:eastAsia="宋体" w:cs="Times New Roman"/>
                <w:bCs/>
                <w:color w:val="auto"/>
                <w:kern w:val="0"/>
                <w:sz w:val="21"/>
                <w:szCs w:val="21"/>
                <w:highlight w:val="none"/>
                <w:lang w:val="en-US" w:eastAsia="zh-CN" w:bidi="ar-SA"/>
              </w:rPr>
            </w:pPr>
            <w:r>
              <w:rPr>
                <w:rFonts w:hint="default" w:ascii="Times New Roman" w:hAnsi="Times New Roman" w:eastAsia="宋体" w:cs="Times New Roman"/>
                <w:bCs/>
                <w:color w:val="auto"/>
                <w:kern w:val="0"/>
                <w:sz w:val="21"/>
                <w:szCs w:val="21"/>
                <w:highlight w:val="none"/>
                <w:lang w:val="en-US" w:eastAsia="zh-CN"/>
              </w:rPr>
              <w:t>/</w:t>
            </w:r>
          </w:p>
        </w:tc>
        <w:tc>
          <w:tcPr>
            <w:tcW w:w="1566" w:type="pct"/>
            <w:vMerge w:val="restart"/>
            <w:noWrap w:val="0"/>
            <w:vAlign w:val="center"/>
          </w:tcPr>
          <w:p w14:paraId="2B546F0C">
            <w:pPr>
              <w:widowControl/>
              <w:adjustRightInd w:val="0"/>
              <w:snapToGrid w:val="0"/>
              <w:spacing w:line="240" w:lineRule="auto"/>
              <w:jc w:val="center"/>
              <w:rPr>
                <w:rFonts w:hint="default" w:ascii="Times New Roman" w:hAnsi="Times New Roman" w:eastAsia="宋体" w:cs="Times New Roman"/>
                <w:bCs/>
                <w:color w:val="auto"/>
                <w:kern w:val="0"/>
                <w:sz w:val="21"/>
                <w:szCs w:val="21"/>
                <w:highlight w:val="none"/>
                <w:lang w:val="en-US" w:eastAsia="zh-CN" w:bidi="ar-SA"/>
              </w:rPr>
            </w:pPr>
            <w:r>
              <w:rPr>
                <w:rFonts w:hint="default" w:ascii="Times New Roman" w:hAnsi="Times New Roman" w:eastAsia="宋体" w:cs="Times New Roman"/>
                <w:bCs/>
                <w:color w:val="auto"/>
                <w:kern w:val="0"/>
                <w:sz w:val="21"/>
                <w:szCs w:val="21"/>
                <w:highlight w:val="none"/>
              </w:rPr>
              <w:t>《工业炉窑大气污染综合治理方案》的通知</w:t>
            </w:r>
            <w:r>
              <w:rPr>
                <w:rFonts w:hint="default" w:ascii="Times New Roman" w:hAnsi="Times New Roman" w:eastAsia="宋体" w:cs="Times New Roman"/>
                <w:bCs/>
                <w:color w:val="auto"/>
                <w:kern w:val="0"/>
                <w:sz w:val="21"/>
                <w:szCs w:val="21"/>
                <w:highlight w:val="none"/>
                <w:lang w:eastAsia="zh-CN"/>
              </w:rPr>
              <w:t>（</w:t>
            </w:r>
            <w:r>
              <w:rPr>
                <w:rFonts w:hint="default" w:ascii="Times New Roman" w:hAnsi="Times New Roman" w:eastAsia="宋体" w:cs="Times New Roman"/>
                <w:bCs/>
                <w:color w:val="auto"/>
                <w:kern w:val="0"/>
                <w:sz w:val="21"/>
                <w:szCs w:val="21"/>
                <w:highlight w:val="none"/>
              </w:rPr>
              <w:t>皖环函</w:t>
            </w:r>
            <w:r>
              <w:rPr>
                <w:rFonts w:hint="default" w:ascii="Times New Roman" w:hAnsi="Times New Roman" w:eastAsia="宋体" w:cs="Times New Roman"/>
                <w:bCs/>
                <w:color w:val="auto"/>
                <w:kern w:val="0"/>
                <w:sz w:val="21"/>
                <w:szCs w:val="21"/>
                <w:highlight w:val="none"/>
                <w:lang w:val="en-US" w:eastAsia="zh-CN"/>
              </w:rPr>
              <w:t>[2019]</w:t>
            </w:r>
            <w:r>
              <w:rPr>
                <w:rFonts w:hint="default" w:ascii="Times New Roman" w:hAnsi="Times New Roman" w:eastAsia="宋体" w:cs="Times New Roman"/>
                <w:bCs/>
                <w:color w:val="auto"/>
                <w:kern w:val="0"/>
                <w:sz w:val="21"/>
                <w:szCs w:val="21"/>
                <w:highlight w:val="none"/>
              </w:rPr>
              <w:t>886号</w:t>
            </w:r>
            <w:r>
              <w:rPr>
                <w:rFonts w:hint="default" w:ascii="Times New Roman" w:hAnsi="Times New Roman" w:eastAsia="宋体" w:cs="Times New Roman"/>
                <w:bCs/>
                <w:color w:val="auto"/>
                <w:kern w:val="0"/>
                <w:sz w:val="21"/>
                <w:szCs w:val="21"/>
                <w:highlight w:val="none"/>
                <w:lang w:eastAsia="zh-CN"/>
              </w:rPr>
              <w:t>）</w:t>
            </w:r>
          </w:p>
        </w:tc>
      </w:tr>
      <w:tr w14:paraId="38915E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520" w:type="pct"/>
            <w:vMerge w:val="continue"/>
            <w:noWrap w:val="0"/>
            <w:vAlign w:val="center"/>
          </w:tcPr>
          <w:p w14:paraId="3DDEA9B9">
            <w:pPr>
              <w:widowControl/>
              <w:adjustRightInd w:val="0"/>
              <w:snapToGrid w:val="0"/>
              <w:spacing w:line="240" w:lineRule="auto"/>
              <w:jc w:val="center"/>
              <w:rPr>
                <w:rFonts w:hint="default" w:ascii="Times New Roman" w:hAnsi="Times New Roman" w:eastAsia="宋体" w:cs="Times New Roman"/>
                <w:bCs/>
                <w:color w:val="auto"/>
                <w:kern w:val="0"/>
                <w:sz w:val="21"/>
                <w:szCs w:val="21"/>
                <w:highlight w:val="none"/>
                <w:lang w:val="en-US" w:eastAsia="zh-CN"/>
              </w:rPr>
            </w:pPr>
          </w:p>
        </w:tc>
        <w:tc>
          <w:tcPr>
            <w:tcW w:w="512" w:type="pct"/>
            <w:noWrap w:val="0"/>
            <w:vAlign w:val="center"/>
          </w:tcPr>
          <w:p w14:paraId="71295AD7">
            <w:pPr>
              <w:widowControl/>
              <w:adjustRightInd w:val="0"/>
              <w:snapToGrid w:val="0"/>
              <w:spacing w:line="240" w:lineRule="auto"/>
              <w:jc w:val="center"/>
              <w:rPr>
                <w:rFonts w:hint="default" w:ascii="Times New Roman" w:hAnsi="Times New Roman" w:eastAsia="宋体" w:cs="Times New Roman"/>
                <w:bCs/>
                <w:color w:val="auto"/>
                <w:kern w:val="0"/>
                <w:sz w:val="21"/>
                <w:szCs w:val="21"/>
                <w:highlight w:val="none"/>
                <w:lang w:val="en-US" w:eastAsia="zh-CN" w:bidi="ar-SA"/>
              </w:rPr>
            </w:pPr>
            <w:r>
              <w:rPr>
                <w:rFonts w:hint="default" w:ascii="Times New Roman" w:hAnsi="Times New Roman" w:eastAsia="宋体" w:cs="Times New Roman"/>
                <w:bCs/>
                <w:color w:val="auto"/>
                <w:kern w:val="0"/>
                <w:sz w:val="21"/>
                <w:szCs w:val="21"/>
                <w:highlight w:val="none"/>
                <w:lang w:val="en-US" w:eastAsia="zh-CN"/>
              </w:rPr>
              <w:t>氮氧化物</w:t>
            </w:r>
          </w:p>
        </w:tc>
        <w:tc>
          <w:tcPr>
            <w:tcW w:w="600" w:type="pct"/>
            <w:noWrap w:val="0"/>
            <w:vAlign w:val="center"/>
          </w:tcPr>
          <w:p w14:paraId="1829CE39">
            <w:pPr>
              <w:widowControl/>
              <w:adjustRightInd w:val="0"/>
              <w:snapToGrid w:val="0"/>
              <w:spacing w:line="240" w:lineRule="auto"/>
              <w:jc w:val="center"/>
              <w:rPr>
                <w:rFonts w:hint="default" w:ascii="Times New Roman" w:hAnsi="Times New Roman" w:eastAsia="宋体" w:cs="Times New Roman"/>
                <w:bCs/>
                <w:color w:val="auto"/>
                <w:kern w:val="0"/>
                <w:sz w:val="21"/>
                <w:szCs w:val="21"/>
                <w:highlight w:val="none"/>
                <w:lang w:val="en-US" w:eastAsia="zh-CN" w:bidi="ar-SA"/>
              </w:rPr>
            </w:pPr>
            <w:r>
              <w:rPr>
                <w:rFonts w:hint="default" w:ascii="Times New Roman" w:hAnsi="Times New Roman" w:eastAsia="宋体" w:cs="Times New Roman"/>
                <w:bCs/>
                <w:color w:val="auto"/>
                <w:kern w:val="0"/>
                <w:sz w:val="21"/>
                <w:szCs w:val="21"/>
                <w:highlight w:val="none"/>
                <w:lang w:val="en-US" w:eastAsia="zh-CN"/>
              </w:rPr>
              <w:t>300</w:t>
            </w:r>
          </w:p>
        </w:tc>
        <w:tc>
          <w:tcPr>
            <w:tcW w:w="561" w:type="pct"/>
            <w:noWrap w:val="0"/>
            <w:vAlign w:val="center"/>
          </w:tcPr>
          <w:p w14:paraId="27C4C8D8">
            <w:pPr>
              <w:widowControl/>
              <w:adjustRightInd w:val="0"/>
              <w:snapToGrid w:val="0"/>
              <w:spacing w:line="240" w:lineRule="auto"/>
              <w:jc w:val="center"/>
              <w:rPr>
                <w:rFonts w:hint="default" w:ascii="Times New Roman" w:hAnsi="Times New Roman" w:eastAsia="宋体" w:cs="Times New Roman"/>
                <w:bCs/>
                <w:color w:val="auto"/>
                <w:kern w:val="0"/>
                <w:sz w:val="21"/>
                <w:szCs w:val="21"/>
                <w:highlight w:val="none"/>
                <w:lang w:val="en-US" w:eastAsia="zh-CN" w:bidi="ar-SA"/>
              </w:rPr>
            </w:pPr>
            <w:r>
              <w:rPr>
                <w:rFonts w:hint="default" w:ascii="Times New Roman" w:hAnsi="Times New Roman" w:eastAsia="宋体" w:cs="Times New Roman"/>
                <w:bCs/>
                <w:color w:val="auto"/>
                <w:kern w:val="0"/>
                <w:sz w:val="21"/>
                <w:szCs w:val="21"/>
                <w:highlight w:val="none"/>
                <w:lang w:val="en-US" w:eastAsia="zh-CN"/>
              </w:rPr>
              <w:t>/</w:t>
            </w:r>
          </w:p>
        </w:tc>
        <w:tc>
          <w:tcPr>
            <w:tcW w:w="518" w:type="pct"/>
            <w:noWrap w:val="0"/>
            <w:vAlign w:val="center"/>
          </w:tcPr>
          <w:p w14:paraId="6EA2E6CD">
            <w:pPr>
              <w:widowControl/>
              <w:adjustRightInd w:val="0"/>
              <w:snapToGrid w:val="0"/>
              <w:spacing w:line="240" w:lineRule="auto"/>
              <w:jc w:val="center"/>
              <w:rPr>
                <w:rFonts w:hint="default" w:ascii="Times New Roman" w:hAnsi="Times New Roman" w:eastAsia="宋体" w:cs="Times New Roman"/>
                <w:bCs/>
                <w:color w:val="auto"/>
                <w:kern w:val="0"/>
                <w:sz w:val="21"/>
                <w:szCs w:val="21"/>
                <w:highlight w:val="none"/>
                <w:lang w:val="en-US" w:eastAsia="zh-CN" w:bidi="ar-SA"/>
              </w:rPr>
            </w:pPr>
            <w:r>
              <w:rPr>
                <w:rFonts w:hint="default" w:ascii="Times New Roman" w:hAnsi="Times New Roman" w:eastAsia="宋体" w:cs="Times New Roman"/>
                <w:bCs/>
                <w:color w:val="auto"/>
                <w:kern w:val="0"/>
                <w:sz w:val="21"/>
                <w:szCs w:val="21"/>
                <w:highlight w:val="none"/>
                <w:lang w:val="en-US" w:eastAsia="zh-CN"/>
              </w:rPr>
              <w:t>/</w:t>
            </w:r>
          </w:p>
        </w:tc>
        <w:tc>
          <w:tcPr>
            <w:tcW w:w="720" w:type="pct"/>
            <w:noWrap w:val="0"/>
            <w:vAlign w:val="center"/>
          </w:tcPr>
          <w:p w14:paraId="107D1A86">
            <w:pPr>
              <w:widowControl/>
              <w:adjustRightInd w:val="0"/>
              <w:snapToGrid w:val="0"/>
              <w:spacing w:line="240" w:lineRule="auto"/>
              <w:jc w:val="center"/>
              <w:rPr>
                <w:rFonts w:hint="default" w:ascii="Times New Roman" w:hAnsi="Times New Roman" w:eastAsia="宋体" w:cs="Times New Roman"/>
                <w:bCs/>
                <w:color w:val="auto"/>
                <w:kern w:val="0"/>
                <w:sz w:val="21"/>
                <w:szCs w:val="21"/>
                <w:highlight w:val="none"/>
                <w:lang w:val="en-US" w:eastAsia="zh-CN" w:bidi="ar-SA"/>
              </w:rPr>
            </w:pPr>
            <w:r>
              <w:rPr>
                <w:rFonts w:hint="default" w:ascii="Times New Roman" w:hAnsi="Times New Roman" w:eastAsia="宋体" w:cs="Times New Roman"/>
                <w:bCs/>
                <w:color w:val="auto"/>
                <w:kern w:val="0"/>
                <w:sz w:val="21"/>
                <w:szCs w:val="21"/>
                <w:highlight w:val="none"/>
                <w:lang w:val="en-US" w:eastAsia="zh-CN"/>
              </w:rPr>
              <w:t>/</w:t>
            </w:r>
          </w:p>
        </w:tc>
        <w:tc>
          <w:tcPr>
            <w:tcW w:w="1566" w:type="pct"/>
            <w:vMerge w:val="continue"/>
            <w:noWrap w:val="0"/>
            <w:vAlign w:val="center"/>
          </w:tcPr>
          <w:p w14:paraId="00645992">
            <w:pPr>
              <w:widowControl/>
              <w:adjustRightInd w:val="0"/>
              <w:snapToGrid w:val="0"/>
              <w:spacing w:line="240" w:lineRule="auto"/>
              <w:jc w:val="center"/>
              <w:rPr>
                <w:rFonts w:hint="default" w:ascii="Times New Roman" w:hAnsi="Times New Roman" w:eastAsia="宋体" w:cs="Times New Roman"/>
                <w:bCs/>
                <w:color w:val="auto"/>
                <w:kern w:val="0"/>
                <w:sz w:val="21"/>
                <w:szCs w:val="21"/>
                <w:highlight w:val="none"/>
                <w:lang w:val="en-US" w:eastAsia="zh-CN" w:bidi="ar-SA"/>
              </w:rPr>
            </w:pPr>
          </w:p>
        </w:tc>
      </w:tr>
      <w:tr w14:paraId="7B688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520" w:type="pct"/>
            <w:vMerge w:val="continue"/>
            <w:noWrap w:val="0"/>
            <w:vAlign w:val="center"/>
          </w:tcPr>
          <w:p w14:paraId="07CB64DC">
            <w:pPr>
              <w:widowControl/>
              <w:adjustRightInd w:val="0"/>
              <w:snapToGrid w:val="0"/>
              <w:spacing w:line="240" w:lineRule="auto"/>
              <w:jc w:val="center"/>
              <w:rPr>
                <w:rFonts w:hint="default" w:ascii="Times New Roman" w:hAnsi="Times New Roman" w:eastAsia="宋体" w:cs="Times New Roman"/>
                <w:bCs/>
                <w:color w:val="auto"/>
                <w:kern w:val="0"/>
                <w:sz w:val="21"/>
                <w:szCs w:val="21"/>
                <w:highlight w:val="none"/>
                <w:lang w:val="en-US" w:eastAsia="zh-CN"/>
              </w:rPr>
            </w:pPr>
          </w:p>
        </w:tc>
        <w:tc>
          <w:tcPr>
            <w:tcW w:w="512" w:type="pct"/>
            <w:noWrap w:val="0"/>
            <w:vAlign w:val="center"/>
          </w:tcPr>
          <w:p w14:paraId="42572793">
            <w:pPr>
              <w:widowControl/>
              <w:adjustRightInd w:val="0"/>
              <w:snapToGrid w:val="0"/>
              <w:spacing w:line="240" w:lineRule="auto"/>
              <w:jc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非甲烷总烃</w:t>
            </w:r>
          </w:p>
        </w:tc>
        <w:tc>
          <w:tcPr>
            <w:tcW w:w="600" w:type="pct"/>
            <w:noWrap w:val="0"/>
            <w:vAlign w:val="center"/>
          </w:tcPr>
          <w:p w14:paraId="70AF2241">
            <w:pPr>
              <w:widowControl/>
              <w:adjustRightInd w:val="0"/>
              <w:snapToGrid w:val="0"/>
              <w:spacing w:line="240" w:lineRule="auto"/>
              <w:jc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120</w:t>
            </w:r>
          </w:p>
        </w:tc>
        <w:tc>
          <w:tcPr>
            <w:tcW w:w="561" w:type="pct"/>
            <w:noWrap w:val="0"/>
            <w:vAlign w:val="center"/>
          </w:tcPr>
          <w:p w14:paraId="4FC946FE">
            <w:pPr>
              <w:widowControl/>
              <w:adjustRightInd w:val="0"/>
              <w:snapToGrid w:val="0"/>
              <w:spacing w:line="240" w:lineRule="auto"/>
              <w:jc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25</w:t>
            </w:r>
          </w:p>
        </w:tc>
        <w:tc>
          <w:tcPr>
            <w:tcW w:w="518" w:type="pct"/>
            <w:noWrap w:val="0"/>
            <w:vAlign w:val="center"/>
          </w:tcPr>
          <w:p w14:paraId="26EE44A6">
            <w:pPr>
              <w:widowControl/>
              <w:adjustRightInd w:val="0"/>
              <w:snapToGrid w:val="0"/>
              <w:spacing w:line="240" w:lineRule="auto"/>
              <w:jc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35*</w:t>
            </w:r>
          </w:p>
        </w:tc>
        <w:tc>
          <w:tcPr>
            <w:tcW w:w="720" w:type="pct"/>
            <w:noWrap w:val="0"/>
            <w:vAlign w:val="center"/>
          </w:tcPr>
          <w:p w14:paraId="3BC37892">
            <w:pPr>
              <w:widowControl/>
              <w:adjustRightInd w:val="0"/>
              <w:snapToGrid w:val="0"/>
              <w:spacing w:line="240" w:lineRule="auto"/>
              <w:jc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w:t>
            </w:r>
          </w:p>
        </w:tc>
        <w:tc>
          <w:tcPr>
            <w:tcW w:w="1566" w:type="pct"/>
            <w:vMerge w:val="restart"/>
            <w:noWrap w:val="0"/>
            <w:vAlign w:val="center"/>
          </w:tcPr>
          <w:p w14:paraId="30DA9D4E">
            <w:pPr>
              <w:widowControl/>
              <w:adjustRightInd w:val="0"/>
              <w:snapToGrid w:val="0"/>
              <w:spacing w:line="240" w:lineRule="auto"/>
              <w:jc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《大气污染物综合排放标准》（GB16297-1996）表2中标准和无组织排放监控浓度限值</w:t>
            </w:r>
          </w:p>
        </w:tc>
      </w:tr>
      <w:tr w14:paraId="393E7D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520" w:type="pct"/>
            <w:vMerge w:val="continue"/>
            <w:noWrap w:val="0"/>
            <w:vAlign w:val="center"/>
          </w:tcPr>
          <w:p w14:paraId="0D349FD2">
            <w:pPr>
              <w:widowControl/>
              <w:adjustRightInd w:val="0"/>
              <w:snapToGrid w:val="0"/>
              <w:spacing w:line="240" w:lineRule="auto"/>
              <w:jc w:val="center"/>
              <w:rPr>
                <w:rFonts w:hint="default" w:ascii="Times New Roman" w:hAnsi="Times New Roman" w:eastAsia="宋体" w:cs="Times New Roman"/>
                <w:bCs/>
                <w:color w:val="auto"/>
                <w:kern w:val="0"/>
                <w:sz w:val="21"/>
                <w:szCs w:val="21"/>
                <w:highlight w:val="none"/>
              </w:rPr>
            </w:pPr>
          </w:p>
        </w:tc>
        <w:tc>
          <w:tcPr>
            <w:tcW w:w="512" w:type="pct"/>
            <w:noWrap w:val="0"/>
            <w:vAlign w:val="center"/>
          </w:tcPr>
          <w:p w14:paraId="169B5BB7">
            <w:pPr>
              <w:widowControl/>
              <w:adjustRightInd w:val="0"/>
              <w:snapToGrid w:val="0"/>
              <w:spacing w:line="240" w:lineRule="auto"/>
              <w:jc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硫酸雾</w:t>
            </w:r>
          </w:p>
        </w:tc>
        <w:tc>
          <w:tcPr>
            <w:tcW w:w="600" w:type="pct"/>
            <w:noWrap w:val="0"/>
            <w:vAlign w:val="center"/>
          </w:tcPr>
          <w:p w14:paraId="4D6CD45C">
            <w:pPr>
              <w:widowControl/>
              <w:adjustRightInd w:val="0"/>
              <w:snapToGrid w:val="0"/>
              <w:spacing w:line="240" w:lineRule="auto"/>
              <w:jc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45</w:t>
            </w:r>
          </w:p>
        </w:tc>
        <w:tc>
          <w:tcPr>
            <w:tcW w:w="561" w:type="pct"/>
            <w:noWrap w:val="0"/>
            <w:vAlign w:val="center"/>
          </w:tcPr>
          <w:p w14:paraId="3CC33212">
            <w:pPr>
              <w:widowControl/>
              <w:adjustRightInd w:val="0"/>
              <w:snapToGrid w:val="0"/>
              <w:spacing w:line="240" w:lineRule="auto"/>
              <w:jc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25</w:t>
            </w:r>
          </w:p>
        </w:tc>
        <w:tc>
          <w:tcPr>
            <w:tcW w:w="518" w:type="pct"/>
            <w:noWrap w:val="0"/>
            <w:vAlign w:val="center"/>
          </w:tcPr>
          <w:p w14:paraId="4DDE39F5">
            <w:pPr>
              <w:widowControl/>
              <w:adjustRightInd w:val="0"/>
              <w:snapToGrid w:val="0"/>
              <w:spacing w:line="240" w:lineRule="auto"/>
              <w:jc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5.7*</w:t>
            </w:r>
          </w:p>
        </w:tc>
        <w:tc>
          <w:tcPr>
            <w:tcW w:w="720" w:type="pct"/>
            <w:noWrap w:val="0"/>
            <w:vAlign w:val="center"/>
          </w:tcPr>
          <w:p w14:paraId="77896B41">
            <w:pPr>
              <w:widowControl/>
              <w:adjustRightInd w:val="0"/>
              <w:snapToGrid w:val="0"/>
              <w:spacing w:line="240" w:lineRule="auto"/>
              <w:jc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w:t>
            </w:r>
          </w:p>
        </w:tc>
        <w:tc>
          <w:tcPr>
            <w:tcW w:w="1566" w:type="pct"/>
            <w:vMerge w:val="continue"/>
            <w:noWrap w:val="0"/>
            <w:vAlign w:val="center"/>
          </w:tcPr>
          <w:p w14:paraId="21850D1F">
            <w:pPr>
              <w:widowControl/>
              <w:adjustRightInd w:val="0"/>
              <w:snapToGrid w:val="0"/>
              <w:spacing w:line="240" w:lineRule="auto"/>
              <w:jc w:val="center"/>
              <w:rPr>
                <w:rFonts w:hint="default" w:ascii="Times New Roman" w:hAnsi="Times New Roman" w:eastAsia="宋体" w:cs="Times New Roman"/>
                <w:bCs/>
                <w:color w:val="auto"/>
                <w:kern w:val="0"/>
                <w:sz w:val="21"/>
                <w:szCs w:val="21"/>
                <w:highlight w:val="none"/>
              </w:rPr>
            </w:pPr>
          </w:p>
        </w:tc>
      </w:tr>
      <w:tr w14:paraId="023317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520" w:type="pct"/>
            <w:vMerge w:val="continue"/>
            <w:noWrap w:val="0"/>
            <w:vAlign w:val="center"/>
          </w:tcPr>
          <w:p w14:paraId="47A6E79C">
            <w:pPr>
              <w:widowControl/>
              <w:adjustRightInd w:val="0"/>
              <w:snapToGrid w:val="0"/>
              <w:spacing w:line="240" w:lineRule="auto"/>
              <w:jc w:val="center"/>
              <w:rPr>
                <w:rFonts w:hint="default" w:ascii="Times New Roman" w:hAnsi="Times New Roman" w:eastAsia="宋体" w:cs="Times New Roman"/>
                <w:bCs/>
                <w:color w:val="auto"/>
                <w:kern w:val="0"/>
                <w:sz w:val="21"/>
                <w:szCs w:val="21"/>
                <w:highlight w:val="none"/>
                <w:lang w:val="en-US" w:eastAsia="zh-CN"/>
              </w:rPr>
            </w:pPr>
          </w:p>
        </w:tc>
        <w:tc>
          <w:tcPr>
            <w:tcW w:w="512" w:type="pct"/>
            <w:noWrap w:val="0"/>
            <w:vAlign w:val="center"/>
          </w:tcPr>
          <w:p w14:paraId="65DE1ABE">
            <w:pPr>
              <w:widowControl/>
              <w:adjustRightInd w:val="0"/>
              <w:snapToGrid w:val="0"/>
              <w:spacing w:line="240" w:lineRule="auto"/>
              <w:jc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氨</w:t>
            </w:r>
          </w:p>
        </w:tc>
        <w:tc>
          <w:tcPr>
            <w:tcW w:w="600" w:type="pct"/>
            <w:noWrap w:val="0"/>
            <w:vAlign w:val="center"/>
          </w:tcPr>
          <w:p w14:paraId="21729CE1">
            <w:pPr>
              <w:widowControl/>
              <w:adjustRightInd w:val="0"/>
              <w:snapToGrid w:val="0"/>
              <w:spacing w:line="240" w:lineRule="auto"/>
              <w:jc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w:t>
            </w:r>
          </w:p>
        </w:tc>
        <w:tc>
          <w:tcPr>
            <w:tcW w:w="561" w:type="pct"/>
            <w:noWrap w:val="0"/>
            <w:vAlign w:val="center"/>
          </w:tcPr>
          <w:p w14:paraId="5C2A914C">
            <w:pPr>
              <w:widowControl/>
              <w:adjustRightInd w:val="0"/>
              <w:snapToGrid w:val="0"/>
              <w:spacing w:line="240" w:lineRule="auto"/>
              <w:jc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25</w:t>
            </w:r>
          </w:p>
        </w:tc>
        <w:tc>
          <w:tcPr>
            <w:tcW w:w="518" w:type="pct"/>
            <w:noWrap w:val="0"/>
            <w:vAlign w:val="center"/>
          </w:tcPr>
          <w:p w14:paraId="6BD3B0DE">
            <w:pPr>
              <w:widowControl/>
              <w:adjustRightInd w:val="0"/>
              <w:snapToGrid w:val="0"/>
              <w:spacing w:line="240" w:lineRule="auto"/>
              <w:jc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14</w:t>
            </w:r>
          </w:p>
        </w:tc>
        <w:tc>
          <w:tcPr>
            <w:tcW w:w="720" w:type="pct"/>
            <w:noWrap w:val="0"/>
            <w:vAlign w:val="center"/>
          </w:tcPr>
          <w:p w14:paraId="32EE59FB">
            <w:pPr>
              <w:widowControl/>
              <w:adjustRightInd w:val="0"/>
              <w:snapToGrid w:val="0"/>
              <w:spacing w:line="240" w:lineRule="auto"/>
              <w:jc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1.5</w:t>
            </w:r>
          </w:p>
        </w:tc>
        <w:tc>
          <w:tcPr>
            <w:tcW w:w="1566" w:type="pct"/>
            <w:vMerge w:val="restart"/>
            <w:noWrap w:val="0"/>
            <w:vAlign w:val="center"/>
          </w:tcPr>
          <w:p w14:paraId="657B704C">
            <w:pPr>
              <w:widowControl/>
              <w:adjustRightInd w:val="0"/>
              <w:snapToGrid w:val="0"/>
              <w:spacing w:line="240" w:lineRule="auto"/>
              <w:jc w:val="center"/>
              <w:rPr>
                <w:rFonts w:hint="default" w:ascii="Times New Roman" w:hAnsi="Times New Roman" w:eastAsia="宋体" w:cs="Times New Roman"/>
                <w:bCs/>
                <w:color w:val="auto"/>
                <w:kern w:val="0"/>
                <w:sz w:val="21"/>
                <w:szCs w:val="21"/>
                <w:highlight w:val="none"/>
                <w:lang w:val="en-US"/>
              </w:rPr>
            </w:pPr>
            <w:r>
              <w:rPr>
                <w:rFonts w:hint="default" w:ascii="Times New Roman" w:hAnsi="Times New Roman" w:eastAsia="宋体" w:cs="Times New Roman"/>
                <w:bCs/>
                <w:color w:val="auto"/>
                <w:kern w:val="0"/>
                <w:sz w:val="21"/>
                <w:szCs w:val="21"/>
                <w:highlight w:val="none"/>
                <w:lang w:val="en-US" w:eastAsia="zh-CN"/>
              </w:rPr>
              <w:t>《恶臭污染物排放标准》（GB14554-93）表1中二级标准和表2中标准</w:t>
            </w:r>
          </w:p>
        </w:tc>
      </w:tr>
      <w:tr w14:paraId="39B498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520" w:type="pct"/>
            <w:vMerge w:val="continue"/>
            <w:noWrap w:val="0"/>
            <w:vAlign w:val="center"/>
          </w:tcPr>
          <w:p w14:paraId="6A57EE77">
            <w:pPr>
              <w:widowControl/>
              <w:adjustRightInd w:val="0"/>
              <w:snapToGrid w:val="0"/>
              <w:spacing w:line="240" w:lineRule="auto"/>
              <w:jc w:val="center"/>
              <w:rPr>
                <w:rFonts w:hint="default" w:ascii="Times New Roman" w:hAnsi="Times New Roman" w:eastAsia="宋体" w:cs="Times New Roman"/>
                <w:bCs/>
                <w:color w:val="auto"/>
                <w:kern w:val="0"/>
                <w:sz w:val="21"/>
                <w:szCs w:val="21"/>
                <w:highlight w:val="none"/>
                <w:lang w:val="en-US" w:eastAsia="zh-CN"/>
              </w:rPr>
            </w:pPr>
          </w:p>
        </w:tc>
        <w:tc>
          <w:tcPr>
            <w:tcW w:w="512" w:type="pct"/>
            <w:noWrap w:val="0"/>
            <w:vAlign w:val="center"/>
          </w:tcPr>
          <w:p w14:paraId="4EA93723">
            <w:pPr>
              <w:widowControl/>
              <w:adjustRightInd w:val="0"/>
              <w:snapToGrid w:val="0"/>
              <w:spacing w:line="240" w:lineRule="auto"/>
              <w:jc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硫化氢</w:t>
            </w:r>
          </w:p>
        </w:tc>
        <w:tc>
          <w:tcPr>
            <w:tcW w:w="600" w:type="pct"/>
            <w:noWrap w:val="0"/>
            <w:vAlign w:val="center"/>
          </w:tcPr>
          <w:p w14:paraId="22744159">
            <w:pPr>
              <w:widowControl/>
              <w:adjustRightInd w:val="0"/>
              <w:snapToGrid w:val="0"/>
              <w:spacing w:line="240" w:lineRule="auto"/>
              <w:jc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w:t>
            </w:r>
          </w:p>
        </w:tc>
        <w:tc>
          <w:tcPr>
            <w:tcW w:w="561" w:type="pct"/>
            <w:noWrap w:val="0"/>
            <w:vAlign w:val="center"/>
          </w:tcPr>
          <w:p w14:paraId="07494EA8">
            <w:pPr>
              <w:widowControl/>
              <w:adjustRightInd w:val="0"/>
              <w:snapToGrid w:val="0"/>
              <w:spacing w:line="240" w:lineRule="auto"/>
              <w:jc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25</w:t>
            </w:r>
          </w:p>
        </w:tc>
        <w:tc>
          <w:tcPr>
            <w:tcW w:w="518" w:type="pct"/>
            <w:noWrap w:val="0"/>
            <w:vAlign w:val="center"/>
          </w:tcPr>
          <w:p w14:paraId="0B927669">
            <w:pPr>
              <w:widowControl/>
              <w:adjustRightInd w:val="0"/>
              <w:snapToGrid w:val="0"/>
              <w:spacing w:line="240" w:lineRule="auto"/>
              <w:jc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0.90</w:t>
            </w:r>
          </w:p>
        </w:tc>
        <w:tc>
          <w:tcPr>
            <w:tcW w:w="720" w:type="pct"/>
            <w:noWrap w:val="0"/>
            <w:vAlign w:val="center"/>
          </w:tcPr>
          <w:p w14:paraId="71B7B92B">
            <w:pPr>
              <w:widowControl/>
              <w:adjustRightInd w:val="0"/>
              <w:snapToGrid w:val="0"/>
              <w:spacing w:line="240" w:lineRule="auto"/>
              <w:jc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0.06</w:t>
            </w:r>
          </w:p>
        </w:tc>
        <w:tc>
          <w:tcPr>
            <w:tcW w:w="1566" w:type="pct"/>
            <w:vMerge w:val="continue"/>
            <w:noWrap w:val="0"/>
            <w:vAlign w:val="center"/>
          </w:tcPr>
          <w:p w14:paraId="09C2A517">
            <w:pPr>
              <w:widowControl/>
              <w:adjustRightInd w:val="0"/>
              <w:snapToGrid w:val="0"/>
              <w:spacing w:line="240" w:lineRule="auto"/>
              <w:jc w:val="center"/>
              <w:rPr>
                <w:rFonts w:hint="default" w:ascii="Times New Roman" w:hAnsi="Times New Roman" w:eastAsia="宋体" w:cs="Times New Roman"/>
                <w:bCs/>
                <w:color w:val="auto"/>
                <w:kern w:val="0"/>
                <w:sz w:val="21"/>
                <w:szCs w:val="21"/>
                <w:highlight w:val="none"/>
                <w:lang w:val="en-US" w:eastAsia="zh-CN"/>
              </w:rPr>
            </w:pPr>
          </w:p>
        </w:tc>
      </w:tr>
      <w:tr w14:paraId="2AD17C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520" w:type="pct"/>
            <w:vMerge w:val="continue"/>
            <w:noWrap w:val="0"/>
            <w:vAlign w:val="center"/>
          </w:tcPr>
          <w:p w14:paraId="41F46810">
            <w:pPr>
              <w:widowControl/>
              <w:adjustRightInd w:val="0"/>
              <w:snapToGrid w:val="0"/>
              <w:spacing w:line="240" w:lineRule="auto"/>
              <w:jc w:val="center"/>
              <w:rPr>
                <w:rFonts w:hint="default" w:ascii="Times New Roman" w:hAnsi="Times New Roman" w:eastAsia="宋体" w:cs="Times New Roman"/>
                <w:bCs/>
                <w:color w:val="auto"/>
                <w:kern w:val="0"/>
                <w:sz w:val="21"/>
                <w:szCs w:val="21"/>
                <w:highlight w:val="none"/>
                <w:lang w:val="en-US" w:eastAsia="zh-CN"/>
              </w:rPr>
            </w:pPr>
          </w:p>
        </w:tc>
        <w:tc>
          <w:tcPr>
            <w:tcW w:w="512" w:type="pct"/>
            <w:noWrap w:val="0"/>
            <w:vAlign w:val="center"/>
          </w:tcPr>
          <w:p w14:paraId="177A4EE7">
            <w:pPr>
              <w:widowControl/>
              <w:adjustRightInd w:val="0"/>
              <w:snapToGrid w:val="0"/>
              <w:spacing w:line="240" w:lineRule="auto"/>
              <w:jc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臭气浓度（无量纲）</w:t>
            </w:r>
          </w:p>
        </w:tc>
        <w:tc>
          <w:tcPr>
            <w:tcW w:w="600" w:type="pct"/>
            <w:noWrap w:val="0"/>
            <w:vAlign w:val="center"/>
          </w:tcPr>
          <w:p w14:paraId="30A1979C">
            <w:pPr>
              <w:widowControl/>
              <w:adjustRightInd w:val="0"/>
              <w:snapToGrid w:val="0"/>
              <w:spacing w:line="240" w:lineRule="auto"/>
              <w:jc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w:t>
            </w:r>
          </w:p>
        </w:tc>
        <w:tc>
          <w:tcPr>
            <w:tcW w:w="561" w:type="pct"/>
            <w:noWrap w:val="0"/>
            <w:vAlign w:val="center"/>
          </w:tcPr>
          <w:p w14:paraId="6B870006">
            <w:pPr>
              <w:widowControl/>
              <w:adjustRightInd w:val="0"/>
              <w:snapToGrid w:val="0"/>
              <w:spacing w:line="240" w:lineRule="auto"/>
              <w:jc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25</w:t>
            </w:r>
          </w:p>
        </w:tc>
        <w:tc>
          <w:tcPr>
            <w:tcW w:w="518" w:type="pct"/>
            <w:noWrap w:val="0"/>
            <w:vAlign w:val="center"/>
          </w:tcPr>
          <w:p w14:paraId="33891C0C">
            <w:pPr>
              <w:widowControl/>
              <w:adjustRightInd w:val="0"/>
              <w:snapToGrid w:val="0"/>
              <w:spacing w:line="240" w:lineRule="auto"/>
              <w:jc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6000</w:t>
            </w:r>
          </w:p>
        </w:tc>
        <w:tc>
          <w:tcPr>
            <w:tcW w:w="720" w:type="pct"/>
            <w:noWrap w:val="0"/>
            <w:vAlign w:val="center"/>
          </w:tcPr>
          <w:p w14:paraId="33DD8E5F">
            <w:pPr>
              <w:widowControl/>
              <w:adjustRightInd w:val="0"/>
              <w:snapToGrid w:val="0"/>
              <w:spacing w:line="240" w:lineRule="auto"/>
              <w:jc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20</w:t>
            </w:r>
          </w:p>
        </w:tc>
        <w:tc>
          <w:tcPr>
            <w:tcW w:w="1566" w:type="pct"/>
            <w:vMerge w:val="continue"/>
            <w:noWrap w:val="0"/>
            <w:vAlign w:val="center"/>
          </w:tcPr>
          <w:p w14:paraId="74A132D5">
            <w:pPr>
              <w:widowControl/>
              <w:adjustRightInd w:val="0"/>
              <w:snapToGrid w:val="0"/>
              <w:spacing w:line="240" w:lineRule="auto"/>
              <w:jc w:val="center"/>
              <w:rPr>
                <w:rFonts w:hint="default" w:ascii="Times New Roman" w:hAnsi="Times New Roman" w:eastAsia="宋体" w:cs="Times New Roman"/>
                <w:bCs/>
                <w:color w:val="auto"/>
                <w:kern w:val="0"/>
                <w:sz w:val="21"/>
                <w:szCs w:val="21"/>
                <w:highlight w:val="none"/>
                <w:lang w:val="en-US" w:eastAsia="zh-CN"/>
              </w:rPr>
            </w:pPr>
          </w:p>
        </w:tc>
      </w:tr>
      <w:tr w14:paraId="2EE863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520" w:type="pct"/>
            <w:vMerge w:val="restart"/>
            <w:noWrap w:val="0"/>
            <w:vAlign w:val="center"/>
          </w:tcPr>
          <w:p w14:paraId="4FE6A496">
            <w:pPr>
              <w:widowControl/>
              <w:adjustRightInd w:val="0"/>
              <w:snapToGrid w:val="0"/>
              <w:spacing w:line="240" w:lineRule="auto"/>
              <w:jc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液体肥料生产线废气</w:t>
            </w:r>
          </w:p>
        </w:tc>
        <w:tc>
          <w:tcPr>
            <w:tcW w:w="512" w:type="pct"/>
            <w:noWrap w:val="0"/>
            <w:vAlign w:val="center"/>
          </w:tcPr>
          <w:p w14:paraId="6EF3FE28">
            <w:pPr>
              <w:widowControl/>
              <w:adjustRightInd w:val="0"/>
              <w:snapToGrid w:val="0"/>
              <w:spacing w:line="240" w:lineRule="auto"/>
              <w:jc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颗粒物</w:t>
            </w:r>
          </w:p>
        </w:tc>
        <w:tc>
          <w:tcPr>
            <w:tcW w:w="600" w:type="pct"/>
            <w:noWrap w:val="0"/>
            <w:vAlign w:val="center"/>
          </w:tcPr>
          <w:p w14:paraId="3770EABE">
            <w:pPr>
              <w:widowControl/>
              <w:adjustRightInd w:val="0"/>
              <w:snapToGrid w:val="0"/>
              <w:spacing w:line="240" w:lineRule="auto"/>
              <w:jc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120</w:t>
            </w:r>
          </w:p>
        </w:tc>
        <w:tc>
          <w:tcPr>
            <w:tcW w:w="561" w:type="pct"/>
            <w:noWrap w:val="0"/>
            <w:vAlign w:val="center"/>
          </w:tcPr>
          <w:p w14:paraId="01815474">
            <w:pPr>
              <w:widowControl/>
              <w:adjustRightInd w:val="0"/>
              <w:snapToGrid w:val="0"/>
              <w:spacing w:line="240" w:lineRule="auto"/>
              <w:jc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15</w:t>
            </w:r>
          </w:p>
        </w:tc>
        <w:tc>
          <w:tcPr>
            <w:tcW w:w="518" w:type="pct"/>
            <w:noWrap w:val="0"/>
            <w:vAlign w:val="center"/>
          </w:tcPr>
          <w:p w14:paraId="0BB7EE38">
            <w:pPr>
              <w:widowControl/>
              <w:adjustRightInd w:val="0"/>
              <w:snapToGrid w:val="0"/>
              <w:spacing w:line="240" w:lineRule="auto"/>
              <w:jc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3.5</w:t>
            </w:r>
          </w:p>
        </w:tc>
        <w:tc>
          <w:tcPr>
            <w:tcW w:w="720" w:type="pct"/>
            <w:noWrap w:val="0"/>
            <w:vAlign w:val="center"/>
          </w:tcPr>
          <w:p w14:paraId="39A850D6">
            <w:pPr>
              <w:widowControl/>
              <w:adjustRightInd w:val="0"/>
              <w:snapToGrid w:val="0"/>
              <w:spacing w:line="240" w:lineRule="auto"/>
              <w:jc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1.0</w:t>
            </w:r>
          </w:p>
        </w:tc>
        <w:tc>
          <w:tcPr>
            <w:tcW w:w="1566" w:type="pct"/>
            <w:noWrap w:val="0"/>
            <w:vAlign w:val="center"/>
          </w:tcPr>
          <w:p w14:paraId="34F683A3">
            <w:pPr>
              <w:widowControl/>
              <w:adjustRightInd w:val="0"/>
              <w:snapToGrid w:val="0"/>
              <w:spacing w:line="240" w:lineRule="auto"/>
              <w:jc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《大气污染物综合排放标准》（GB16297-1996）表2中二级标准和无组织排放监控浓度限值</w:t>
            </w:r>
          </w:p>
        </w:tc>
      </w:tr>
      <w:tr w14:paraId="60D401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520" w:type="pct"/>
            <w:vMerge w:val="continue"/>
            <w:noWrap w:val="0"/>
            <w:vAlign w:val="center"/>
          </w:tcPr>
          <w:p w14:paraId="19F56065">
            <w:pPr>
              <w:widowControl/>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p>
        </w:tc>
        <w:tc>
          <w:tcPr>
            <w:tcW w:w="512" w:type="pct"/>
            <w:noWrap w:val="0"/>
            <w:vAlign w:val="center"/>
          </w:tcPr>
          <w:p w14:paraId="72951136">
            <w:pPr>
              <w:widowControl/>
              <w:adjustRightInd w:val="0"/>
              <w:snapToGrid w:val="0"/>
              <w:spacing w:line="240" w:lineRule="auto"/>
              <w:jc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氨</w:t>
            </w:r>
          </w:p>
        </w:tc>
        <w:tc>
          <w:tcPr>
            <w:tcW w:w="600" w:type="pct"/>
            <w:noWrap w:val="0"/>
            <w:vAlign w:val="center"/>
          </w:tcPr>
          <w:p w14:paraId="4F45A371">
            <w:pPr>
              <w:widowControl/>
              <w:adjustRightInd w:val="0"/>
              <w:snapToGrid w:val="0"/>
              <w:spacing w:line="240" w:lineRule="auto"/>
              <w:jc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w:t>
            </w:r>
          </w:p>
        </w:tc>
        <w:tc>
          <w:tcPr>
            <w:tcW w:w="561" w:type="pct"/>
            <w:noWrap w:val="0"/>
            <w:vAlign w:val="center"/>
          </w:tcPr>
          <w:p w14:paraId="4BF02F4B">
            <w:pPr>
              <w:widowControl/>
              <w:adjustRightInd w:val="0"/>
              <w:snapToGrid w:val="0"/>
              <w:spacing w:line="240" w:lineRule="auto"/>
              <w:jc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15</w:t>
            </w:r>
          </w:p>
        </w:tc>
        <w:tc>
          <w:tcPr>
            <w:tcW w:w="518" w:type="pct"/>
            <w:noWrap w:val="0"/>
            <w:vAlign w:val="center"/>
          </w:tcPr>
          <w:p w14:paraId="3CC3FD36">
            <w:pPr>
              <w:widowControl/>
              <w:adjustRightInd w:val="0"/>
              <w:snapToGrid w:val="0"/>
              <w:spacing w:line="240" w:lineRule="auto"/>
              <w:jc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4.9</w:t>
            </w:r>
          </w:p>
        </w:tc>
        <w:tc>
          <w:tcPr>
            <w:tcW w:w="720" w:type="pct"/>
            <w:noWrap w:val="0"/>
            <w:vAlign w:val="center"/>
          </w:tcPr>
          <w:p w14:paraId="4B530C1E">
            <w:pPr>
              <w:widowControl/>
              <w:adjustRightInd w:val="0"/>
              <w:snapToGrid w:val="0"/>
              <w:spacing w:line="240" w:lineRule="auto"/>
              <w:jc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1.5</w:t>
            </w:r>
          </w:p>
        </w:tc>
        <w:tc>
          <w:tcPr>
            <w:tcW w:w="1566" w:type="pct"/>
            <w:vMerge w:val="restart"/>
            <w:noWrap w:val="0"/>
            <w:vAlign w:val="center"/>
          </w:tcPr>
          <w:p w14:paraId="13FB2ECB">
            <w:pPr>
              <w:widowControl/>
              <w:adjustRightInd w:val="0"/>
              <w:snapToGrid w:val="0"/>
              <w:spacing w:line="240" w:lineRule="auto"/>
              <w:jc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《恶臭污染物排放标准》（GB14554-93）表1中二级标准和表2中标准</w:t>
            </w:r>
          </w:p>
        </w:tc>
      </w:tr>
      <w:tr w14:paraId="5B5CB3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520" w:type="pct"/>
            <w:vMerge w:val="continue"/>
            <w:noWrap w:val="0"/>
            <w:vAlign w:val="center"/>
          </w:tcPr>
          <w:p w14:paraId="2C4FB199">
            <w:pPr>
              <w:widowControl/>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p>
        </w:tc>
        <w:tc>
          <w:tcPr>
            <w:tcW w:w="512" w:type="pct"/>
            <w:noWrap w:val="0"/>
            <w:vAlign w:val="center"/>
          </w:tcPr>
          <w:p w14:paraId="6CBFED30">
            <w:pPr>
              <w:widowControl/>
              <w:adjustRightInd w:val="0"/>
              <w:snapToGrid w:val="0"/>
              <w:spacing w:line="240" w:lineRule="auto"/>
              <w:jc w:val="center"/>
              <w:rPr>
                <w:rFonts w:hint="default" w:ascii="Times New Roman" w:hAnsi="Times New Roman" w:eastAsia="宋体" w:cs="Times New Roman"/>
                <w:bCs/>
                <w:color w:val="auto"/>
                <w:kern w:val="0"/>
                <w:sz w:val="21"/>
                <w:szCs w:val="21"/>
                <w:highlight w:val="none"/>
                <w:lang w:val="en-US" w:eastAsia="zh-CN" w:bidi="ar-SA"/>
              </w:rPr>
            </w:pPr>
            <w:r>
              <w:rPr>
                <w:rFonts w:hint="default" w:ascii="Times New Roman" w:hAnsi="Times New Roman" w:eastAsia="宋体" w:cs="Times New Roman"/>
                <w:bCs/>
                <w:color w:val="auto"/>
                <w:kern w:val="0"/>
                <w:sz w:val="21"/>
                <w:szCs w:val="21"/>
                <w:highlight w:val="none"/>
                <w:lang w:val="en-US" w:eastAsia="zh-CN"/>
              </w:rPr>
              <w:t>硫化氢</w:t>
            </w:r>
          </w:p>
        </w:tc>
        <w:tc>
          <w:tcPr>
            <w:tcW w:w="600" w:type="pct"/>
            <w:noWrap w:val="0"/>
            <w:vAlign w:val="center"/>
          </w:tcPr>
          <w:p w14:paraId="1496C00F">
            <w:pPr>
              <w:widowControl/>
              <w:adjustRightInd w:val="0"/>
              <w:snapToGrid w:val="0"/>
              <w:spacing w:line="240" w:lineRule="auto"/>
              <w:jc w:val="center"/>
              <w:rPr>
                <w:rFonts w:hint="default" w:ascii="Times New Roman" w:hAnsi="Times New Roman" w:eastAsia="宋体" w:cs="Times New Roman"/>
                <w:bCs/>
                <w:color w:val="auto"/>
                <w:kern w:val="0"/>
                <w:sz w:val="21"/>
                <w:szCs w:val="21"/>
                <w:highlight w:val="none"/>
                <w:lang w:val="en-US" w:eastAsia="zh-CN" w:bidi="ar-SA"/>
              </w:rPr>
            </w:pPr>
            <w:r>
              <w:rPr>
                <w:rFonts w:hint="default" w:ascii="Times New Roman" w:hAnsi="Times New Roman" w:eastAsia="宋体" w:cs="Times New Roman"/>
                <w:bCs/>
                <w:color w:val="auto"/>
                <w:kern w:val="0"/>
                <w:sz w:val="21"/>
                <w:szCs w:val="21"/>
                <w:highlight w:val="none"/>
                <w:lang w:val="en-US" w:eastAsia="zh-CN"/>
              </w:rPr>
              <w:t>/</w:t>
            </w:r>
          </w:p>
        </w:tc>
        <w:tc>
          <w:tcPr>
            <w:tcW w:w="561" w:type="pct"/>
            <w:noWrap w:val="0"/>
            <w:vAlign w:val="center"/>
          </w:tcPr>
          <w:p w14:paraId="429BFC2D">
            <w:pPr>
              <w:widowControl/>
              <w:adjustRightInd w:val="0"/>
              <w:snapToGrid w:val="0"/>
              <w:spacing w:line="240" w:lineRule="auto"/>
              <w:jc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15</w:t>
            </w:r>
          </w:p>
        </w:tc>
        <w:tc>
          <w:tcPr>
            <w:tcW w:w="518" w:type="pct"/>
            <w:noWrap w:val="0"/>
            <w:vAlign w:val="center"/>
          </w:tcPr>
          <w:p w14:paraId="6319C864">
            <w:pPr>
              <w:widowControl/>
              <w:adjustRightInd w:val="0"/>
              <w:snapToGrid w:val="0"/>
              <w:spacing w:line="240" w:lineRule="auto"/>
              <w:jc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0.33</w:t>
            </w:r>
          </w:p>
        </w:tc>
        <w:tc>
          <w:tcPr>
            <w:tcW w:w="720" w:type="pct"/>
            <w:noWrap w:val="0"/>
            <w:vAlign w:val="center"/>
          </w:tcPr>
          <w:p w14:paraId="5BF0D57F">
            <w:pPr>
              <w:widowControl/>
              <w:adjustRightInd w:val="0"/>
              <w:snapToGrid w:val="0"/>
              <w:spacing w:line="240" w:lineRule="auto"/>
              <w:jc w:val="center"/>
              <w:rPr>
                <w:rFonts w:hint="default" w:ascii="Times New Roman" w:hAnsi="Times New Roman" w:eastAsia="宋体" w:cs="Times New Roman"/>
                <w:bCs/>
                <w:color w:val="auto"/>
                <w:kern w:val="0"/>
                <w:sz w:val="21"/>
                <w:szCs w:val="21"/>
                <w:highlight w:val="none"/>
                <w:lang w:val="en-US" w:eastAsia="zh-CN" w:bidi="ar-SA"/>
              </w:rPr>
            </w:pPr>
            <w:r>
              <w:rPr>
                <w:rFonts w:hint="default" w:ascii="Times New Roman" w:hAnsi="Times New Roman" w:eastAsia="宋体" w:cs="Times New Roman"/>
                <w:bCs/>
                <w:color w:val="auto"/>
                <w:kern w:val="0"/>
                <w:sz w:val="21"/>
                <w:szCs w:val="21"/>
                <w:highlight w:val="none"/>
                <w:lang w:val="en-US" w:eastAsia="zh-CN"/>
              </w:rPr>
              <w:t>0.06</w:t>
            </w:r>
          </w:p>
        </w:tc>
        <w:tc>
          <w:tcPr>
            <w:tcW w:w="1566" w:type="pct"/>
            <w:vMerge w:val="continue"/>
            <w:noWrap w:val="0"/>
            <w:vAlign w:val="center"/>
          </w:tcPr>
          <w:p w14:paraId="4667C125">
            <w:pPr>
              <w:widowControl/>
              <w:adjustRightInd w:val="0"/>
              <w:snapToGrid w:val="0"/>
              <w:spacing w:line="240" w:lineRule="auto"/>
              <w:jc w:val="center"/>
              <w:rPr>
                <w:rFonts w:hint="default" w:ascii="Times New Roman" w:hAnsi="Times New Roman" w:eastAsia="宋体" w:cs="Times New Roman"/>
                <w:bCs/>
                <w:color w:val="auto"/>
                <w:kern w:val="0"/>
                <w:sz w:val="21"/>
                <w:szCs w:val="21"/>
                <w:highlight w:val="none"/>
                <w:lang w:val="en-US" w:eastAsia="zh-CN"/>
              </w:rPr>
            </w:pPr>
          </w:p>
        </w:tc>
      </w:tr>
      <w:tr w14:paraId="5C1066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520" w:type="pct"/>
            <w:vMerge w:val="continue"/>
            <w:noWrap w:val="0"/>
            <w:vAlign w:val="center"/>
          </w:tcPr>
          <w:p w14:paraId="394308A8">
            <w:pPr>
              <w:widowControl/>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p>
        </w:tc>
        <w:tc>
          <w:tcPr>
            <w:tcW w:w="512" w:type="pct"/>
            <w:noWrap w:val="0"/>
            <w:vAlign w:val="center"/>
          </w:tcPr>
          <w:p w14:paraId="3FA21F22">
            <w:pPr>
              <w:widowControl/>
              <w:adjustRightInd w:val="0"/>
              <w:snapToGrid w:val="0"/>
              <w:spacing w:line="240" w:lineRule="auto"/>
              <w:jc w:val="center"/>
              <w:rPr>
                <w:rFonts w:hint="default" w:ascii="Times New Roman" w:hAnsi="Times New Roman" w:eastAsia="宋体" w:cs="Times New Roman"/>
                <w:bCs/>
                <w:color w:val="auto"/>
                <w:kern w:val="0"/>
                <w:sz w:val="21"/>
                <w:szCs w:val="21"/>
                <w:highlight w:val="none"/>
                <w:lang w:val="en-US" w:eastAsia="zh-CN" w:bidi="ar-SA"/>
              </w:rPr>
            </w:pPr>
            <w:r>
              <w:rPr>
                <w:rFonts w:hint="default" w:ascii="Times New Roman" w:hAnsi="Times New Roman" w:eastAsia="宋体" w:cs="Times New Roman"/>
                <w:bCs/>
                <w:color w:val="auto"/>
                <w:kern w:val="0"/>
                <w:sz w:val="21"/>
                <w:szCs w:val="21"/>
                <w:highlight w:val="none"/>
                <w:lang w:val="en-US" w:eastAsia="zh-CN"/>
              </w:rPr>
              <w:t>臭气浓度（无量纲）</w:t>
            </w:r>
          </w:p>
        </w:tc>
        <w:tc>
          <w:tcPr>
            <w:tcW w:w="600" w:type="pct"/>
            <w:noWrap w:val="0"/>
            <w:vAlign w:val="center"/>
          </w:tcPr>
          <w:p w14:paraId="32DB344A">
            <w:pPr>
              <w:widowControl/>
              <w:adjustRightInd w:val="0"/>
              <w:snapToGrid w:val="0"/>
              <w:spacing w:line="240" w:lineRule="auto"/>
              <w:jc w:val="center"/>
              <w:rPr>
                <w:rFonts w:hint="default" w:ascii="Times New Roman" w:hAnsi="Times New Roman" w:eastAsia="宋体" w:cs="Times New Roman"/>
                <w:bCs/>
                <w:color w:val="auto"/>
                <w:kern w:val="0"/>
                <w:sz w:val="21"/>
                <w:szCs w:val="21"/>
                <w:highlight w:val="none"/>
                <w:lang w:val="en-US" w:eastAsia="zh-CN" w:bidi="ar-SA"/>
              </w:rPr>
            </w:pPr>
            <w:r>
              <w:rPr>
                <w:rFonts w:hint="default" w:ascii="Times New Roman" w:hAnsi="Times New Roman" w:eastAsia="宋体" w:cs="Times New Roman"/>
                <w:bCs/>
                <w:color w:val="auto"/>
                <w:kern w:val="0"/>
                <w:sz w:val="21"/>
                <w:szCs w:val="21"/>
                <w:highlight w:val="none"/>
                <w:lang w:val="en-US" w:eastAsia="zh-CN"/>
              </w:rPr>
              <w:t>/</w:t>
            </w:r>
          </w:p>
        </w:tc>
        <w:tc>
          <w:tcPr>
            <w:tcW w:w="561" w:type="pct"/>
            <w:noWrap w:val="0"/>
            <w:vAlign w:val="center"/>
          </w:tcPr>
          <w:p w14:paraId="730ACECE">
            <w:pPr>
              <w:widowControl/>
              <w:adjustRightInd w:val="0"/>
              <w:snapToGrid w:val="0"/>
              <w:spacing w:line="240" w:lineRule="auto"/>
              <w:jc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15</w:t>
            </w:r>
          </w:p>
        </w:tc>
        <w:tc>
          <w:tcPr>
            <w:tcW w:w="518" w:type="pct"/>
            <w:noWrap w:val="0"/>
            <w:vAlign w:val="center"/>
          </w:tcPr>
          <w:p w14:paraId="208B39C9">
            <w:pPr>
              <w:widowControl/>
              <w:adjustRightInd w:val="0"/>
              <w:snapToGrid w:val="0"/>
              <w:spacing w:line="240" w:lineRule="auto"/>
              <w:jc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2000</w:t>
            </w:r>
          </w:p>
        </w:tc>
        <w:tc>
          <w:tcPr>
            <w:tcW w:w="720" w:type="pct"/>
            <w:noWrap w:val="0"/>
            <w:vAlign w:val="center"/>
          </w:tcPr>
          <w:p w14:paraId="50841945">
            <w:pPr>
              <w:widowControl/>
              <w:adjustRightInd w:val="0"/>
              <w:snapToGrid w:val="0"/>
              <w:spacing w:line="240" w:lineRule="auto"/>
              <w:jc w:val="center"/>
              <w:rPr>
                <w:rFonts w:hint="default" w:ascii="Times New Roman" w:hAnsi="Times New Roman" w:eastAsia="宋体" w:cs="Times New Roman"/>
                <w:bCs/>
                <w:color w:val="auto"/>
                <w:kern w:val="0"/>
                <w:sz w:val="21"/>
                <w:szCs w:val="21"/>
                <w:highlight w:val="none"/>
                <w:lang w:val="en-US" w:eastAsia="zh-CN" w:bidi="ar-SA"/>
              </w:rPr>
            </w:pPr>
            <w:r>
              <w:rPr>
                <w:rFonts w:hint="default" w:ascii="Times New Roman" w:hAnsi="Times New Roman" w:eastAsia="宋体" w:cs="Times New Roman"/>
                <w:bCs/>
                <w:color w:val="auto"/>
                <w:kern w:val="0"/>
                <w:sz w:val="21"/>
                <w:szCs w:val="21"/>
                <w:highlight w:val="none"/>
                <w:lang w:val="en-US" w:eastAsia="zh-CN"/>
              </w:rPr>
              <w:t>20</w:t>
            </w:r>
          </w:p>
        </w:tc>
        <w:tc>
          <w:tcPr>
            <w:tcW w:w="1566" w:type="pct"/>
            <w:vMerge w:val="continue"/>
            <w:noWrap w:val="0"/>
            <w:vAlign w:val="center"/>
          </w:tcPr>
          <w:p w14:paraId="5BF1D357">
            <w:pPr>
              <w:widowControl/>
              <w:adjustRightInd w:val="0"/>
              <w:snapToGrid w:val="0"/>
              <w:spacing w:line="240" w:lineRule="auto"/>
              <w:jc w:val="center"/>
              <w:rPr>
                <w:rFonts w:hint="default" w:ascii="Times New Roman" w:hAnsi="Times New Roman" w:eastAsia="宋体" w:cs="Times New Roman"/>
                <w:bCs/>
                <w:color w:val="auto"/>
                <w:kern w:val="0"/>
                <w:sz w:val="21"/>
                <w:szCs w:val="21"/>
                <w:highlight w:val="none"/>
                <w:lang w:val="en-US" w:eastAsia="zh-CN"/>
              </w:rPr>
            </w:pPr>
          </w:p>
        </w:tc>
      </w:tr>
      <w:bookmarkEnd w:id="0"/>
    </w:tbl>
    <w:p w14:paraId="6C4FEF58">
      <w:pPr>
        <w:snapToGrid w:val="0"/>
        <w:spacing w:line="360" w:lineRule="auto"/>
        <w:ind w:firstLine="480" w:firstLineChars="200"/>
        <w:rPr>
          <w:rFonts w:hint="eastAsia" w:ascii="Times New Roman" w:hAnsi="Times New Roman"/>
          <w:color w:val="auto"/>
          <w:sz w:val="24"/>
          <w:szCs w:val="24"/>
          <w:lang w:eastAsia="zh-CN"/>
        </w:rPr>
      </w:pPr>
      <w:r>
        <w:rPr>
          <w:rFonts w:hint="eastAsia" w:ascii="Times New Roman" w:hAnsi="Times New Roman"/>
          <w:color w:val="auto"/>
          <w:sz w:val="24"/>
          <w:szCs w:val="24"/>
          <w:lang w:val="en-US" w:eastAsia="zh-CN"/>
        </w:rPr>
        <w:t>3、</w:t>
      </w:r>
      <w:r>
        <w:rPr>
          <w:rFonts w:hint="eastAsia" w:ascii="Times New Roman" w:hAnsi="Times New Roman"/>
          <w:color w:val="auto"/>
          <w:sz w:val="24"/>
          <w:szCs w:val="24"/>
          <w:lang w:eastAsia="zh-CN"/>
        </w:rPr>
        <w:t>噪声</w:t>
      </w:r>
    </w:p>
    <w:p w14:paraId="0C87CAB3">
      <w:pPr>
        <w:spacing w:line="348" w:lineRule="auto"/>
        <w:ind w:firstLine="480" w:firstLineChars="200"/>
        <w:rPr>
          <w:color w:val="auto"/>
          <w:sz w:val="24"/>
        </w:rPr>
      </w:pPr>
      <w:r>
        <w:rPr>
          <w:color w:val="auto"/>
          <w:sz w:val="24"/>
        </w:rPr>
        <w:t>建设项目边界噪声执行《工业企业厂界环境噪声排放标准》（GB12348-2008）中的3类标准，具体数值见</w:t>
      </w:r>
      <w:r>
        <w:rPr>
          <w:rFonts w:hint="eastAsia"/>
          <w:color w:val="auto"/>
          <w:sz w:val="24"/>
          <w:lang w:eastAsia="zh-CN"/>
        </w:rPr>
        <w:t>下表</w:t>
      </w:r>
      <w:r>
        <w:rPr>
          <w:color w:val="auto"/>
          <w:sz w:val="24"/>
        </w:rPr>
        <w:t>。</w:t>
      </w:r>
    </w:p>
    <w:p w14:paraId="6CFCB6DC">
      <w:pPr>
        <w:tabs>
          <w:tab w:val="left" w:pos="488"/>
        </w:tabs>
        <w:adjustRightInd w:val="0"/>
        <w:snapToGrid w:val="0"/>
        <w:ind w:firstLine="482" w:firstLineChars="200"/>
        <w:jc w:val="center"/>
        <w:rPr>
          <w:color w:val="auto"/>
          <w:sz w:val="24"/>
        </w:rPr>
      </w:pPr>
      <w:r>
        <w:rPr>
          <w:b/>
          <w:bCs/>
          <w:color w:val="auto"/>
          <w:sz w:val="24"/>
        </w:rPr>
        <w:t>表</w:t>
      </w:r>
      <w:r>
        <w:rPr>
          <w:rFonts w:hint="eastAsia"/>
          <w:b/>
          <w:bCs/>
          <w:color w:val="auto"/>
          <w:sz w:val="24"/>
        </w:rPr>
        <w:t>3</w:t>
      </w:r>
      <w:r>
        <w:rPr>
          <w:b/>
          <w:bCs/>
          <w:color w:val="auto"/>
          <w:sz w:val="24"/>
        </w:rPr>
        <w:t xml:space="preserve">  </w:t>
      </w:r>
      <w:r>
        <w:rPr>
          <w:b/>
          <w:color w:val="auto"/>
          <w:sz w:val="24"/>
        </w:rPr>
        <w:t>工业企业厂界环境噪声排放标准值  单位：dB（A）</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907"/>
        <w:gridCol w:w="1479"/>
        <w:gridCol w:w="1980"/>
        <w:gridCol w:w="4920"/>
      </w:tblGrid>
      <w:tr w14:paraId="020B2B3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jc w:val="center"/>
        </w:trPr>
        <w:tc>
          <w:tcPr>
            <w:tcW w:w="907" w:type="dxa"/>
            <w:noWrap w:val="0"/>
            <w:vAlign w:val="center"/>
          </w:tcPr>
          <w:p w14:paraId="2F29CDA1">
            <w:pPr>
              <w:adjustRightInd w:val="0"/>
              <w:snapToGrid w:val="0"/>
              <w:jc w:val="center"/>
              <w:rPr>
                <w:rFonts w:ascii="Times New Roman" w:hAnsi="Times New Roman"/>
                <w:b/>
                <w:bCs/>
                <w:color w:val="auto"/>
                <w:szCs w:val="21"/>
              </w:rPr>
            </w:pPr>
            <w:r>
              <w:rPr>
                <w:rFonts w:ascii="Times New Roman" w:hAnsi="Times New Roman"/>
                <w:b/>
                <w:bCs/>
                <w:color w:val="auto"/>
                <w:szCs w:val="21"/>
              </w:rPr>
              <w:t>类别</w:t>
            </w:r>
          </w:p>
        </w:tc>
        <w:tc>
          <w:tcPr>
            <w:tcW w:w="1479" w:type="dxa"/>
            <w:noWrap w:val="0"/>
            <w:vAlign w:val="center"/>
          </w:tcPr>
          <w:p w14:paraId="070F03C9">
            <w:pPr>
              <w:adjustRightInd w:val="0"/>
              <w:snapToGrid w:val="0"/>
              <w:jc w:val="center"/>
              <w:rPr>
                <w:rFonts w:ascii="Times New Roman" w:hAnsi="Times New Roman"/>
                <w:b/>
                <w:bCs/>
                <w:color w:val="auto"/>
                <w:szCs w:val="21"/>
              </w:rPr>
            </w:pPr>
            <w:r>
              <w:rPr>
                <w:rFonts w:ascii="Times New Roman" w:hAnsi="Times New Roman"/>
                <w:b/>
                <w:bCs/>
                <w:color w:val="auto"/>
                <w:szCs w:val="21"/>
              </w:rPr>
              <w:t>昼间</w:t>
            </w:r>
          </w:p>
        </w:tc>
        <w:tc>
          <w:tcPr>
            <w:tcW w:w="1980" w:type="dxa"/>
            <w:noWrap w:val="0"/>
            <w:vAlign w:val="center"/>
          </w:tcPr>
          <w:p w14:paraId="796834A1">
            <w:pPr>
              <w:adjustRightInd w:val="0"/>
              <w:snapToGrid w:val="0"/>
              <w:jc w:val="center"/>
              <w:rPr>
                <w:rFonts w:ascii="Times New Roman" w:hAnsi="Times New Roman"/>
                <w:b/>
                <w:bCs/>
                <w:color w:val="auto"/>
                <w:szCs w:val="21"/>
              </w:rPr>
            </w:pPr>
            <w:r>
              <w:rPr>
                <w:rFonts w:ascii="Times New Roman" w:hAnsi="Times New Roman"/>
                <w:b/>
                <w:bCs/>
                <w:color w:val="auto"/>
                <w:szCs w:val="21"/>
              </w:rPr>
              <w:t>夜间</w:t>
            </w:r>
          </w:p>
        </w:tc>
        <w:tc>
          <w:tcPr>
            <w:tcW w:w="4920" w:type="dxa"/>
            <w:noWrap w:val="0"/>
            <w:vAlign w:val="center"/>
          </w:tcPr>
          <w:p w14:paraId="68C5D147">
            <w:pPr>
              <w:adjustRightInd w:val="0"/>
              <w:snapToGrid w:val="0"/>
              <w:jc w:val="center"/>
              <w:rPr>
                <w:rFonts w:ascii="Times New Roman" w:hAnsi="Times New Roman"/>
                <w:b/>
                <w:bCs/>
                <w:color w:val="auto"/>
                <w:szCs w:val="21"/>
              </w:rPr>
            </w:pPr>
            <w:r>
              <w:rPr>
                <w:rFonts w:ascii="Times New Roman" w:hAnsi="Times New Roman"/>
                <w:b/>
                <w:bCs/>
                <w:color w:val="auto"/>
                <w:szCs w:val="21"/>
              </w:rPr>
              <w:t>标准来源</w:t>
            </w:r>
          </w:p>
        </w:tc>
      </w:tr>
      <w:tr w14:paraId="52C7D67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jc w:val="center"/>
        </w:trPr>
        <w:tc>
          <w:tcPr>
            <w:tcW w:w="907" w:type="dxa"/>
            <w:noWrap w:val="0"/>
            <w:vAlign w:val="center"/>
          </w:tcPr>
          <w:p w14:paraId="72AEF250">
            <w:pPr>
              <w:adjustRightInd w:val="0"/>
              <w:snapToGrid w:val="0"/>
              <w:jc w:val="center"/>
              <w:rPr>
                <w:rFonts w:ascii="Times New Roman" w:hAnsi="Times New Roman"/>
                <w:bCs/>
                <w:color w:val="auto"/>
                <w:szCs w:val="21"/>
              </w:rPr>
            </w:pPr>
            <w:r>
              <w:rPr>
                <w:rFonts w:ascii="Times New Roman" w:hAnsi="Times New Roman"/>
                <w:bCs/>
                <w:color w:val="auto"/>
                <w:szCs w:val="21"/>
              </w:rPr>
              <w:t>3</w:t>
            </w:r>
          </w:p>
        </w:tc>
        <w:tc>
          <w:tcPr>
            <w:tcW w:w="1479" w:type="dxa"/>
            <w:noWrap w:val="0"/>
            <w:vAlign w:val="center"/>
          </w:tcPr>
          <w:p w14:paraId="1066A7E3">
            <w:pPr>
              <w:adjustRightInd w:val="0"/>
              <w:snapToGrid w:val="0"/>
              <w:jc w:val="center"/>
              <w:rPr>
                <w:rFonts w:ascii="Times New Roman" w:hAnsi="Times New Roman"/>
                <w:color w:val="auto"/>
                <w:szCs w:val="21"/>
              </w:rPr>
            </w:pPr>
            <w:r>
              <w:rPr>
                <w:rFonts w:ascii="Times New Roman" w:hAnsi="Times New Roman"/>
                <w:color w:val="auto"/>
                <w:szCs w:val="21"/>
              </w:rPr>
              <w:t>65</w:t>
            </w:r>
          </w:p>
        </w:tc>
        <w:tc>
          <w:tcPr>
            <w:tcW w:w="1980" w:type="dxa"/>
            <w:noWrap w:val="0"/>
            <w:vAlign w:val="center"/>
          </w:tcPr>
          <w:p w14:paraId="72371196">
            <w:pPr>
              <w:adjustRightInd w:val="0"/>
              <w:snapToGrid w:val="0"/>
              <w:jc w:val="center"/>
              <w:rPr>
                <w:rFonts w:ascii="Times New Roman" w:hAnsi="Times New Roman"/>
                <w:color w:val="auto"/>
                <w:szCs w:val="21"/>
              </w:rPr>
            </w:pPr>
            <w:r>
              <w:rPr>
                <w:rFonts w:ascii="Times New Roman" w:hAnsi="Times New Roman"/>
                <w:color w:val="auto"/>
                <w:szCs w:val="21"/>
              </w:rPr>
              <w:t>55</w:t>
            </w:r>
          </w:p>
        </w:tc>
        <w:tc>
          <w:tcPr>
            <w:tcW w:w="4920" w:type="dxa"/>
            <w:noWrap w:val="0"/>
            <w:vAlign w:val="center"/>
          </w:tcPr>
          <w:p w14:paraId="1750F078">
            <w:pPr>
              <w:adjustRightInd w:val="0"/>
              <w:snapToGrid w:val="0"/>
              <w:jc w:val="center"/>
              <w:rPr>
                <w:rFonts w:ascii="Times New Roman" w:hAnsi="Times New Roman"/>
                <w:bCs/>
                <w:color w:val="auto"/>
                <w:szCs w:val="21"/>
              </w:rPr>
            </w:pPr>
            <w:r>
              <w:rPr>
                <w:rFonts w:ascii="Times New Roman" w:hAnsi="Times New Roman"/>
                <w:color w:val="auto"/>
                <w:szCs w:val="21"/>
              </w:rPr>
              <w:t>《工业企业厂界环境噪声排放标准（GB12348-2008）</w:t>
            </w:r>
          </w:p>
        </w:tc>
      </w:tr>
    </w:tbl>
    <w:p w14:paraId="5E54FF92">
      <w:pPr>
        <w:snapToGrid w:val="0"/>
        <w:spacing w:line="360" w:lineRule="auto"/>
        <w:ind w:firstLine="480" w:firstLineChars="200"/>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4、固废</w:t>
      </w:r>
    </w:p>
    <w:p w14:paraId="50E53267">
      <w:pPr>
        <w:spacing w:line="348" w:lineRule="auto"/>
        <w:ind w:firstLine="480" w:firstLineChars="200"/>
        <w:rPr>
          <w:rFonts w:hint="eastAsia"/>
          <w:color w:val="auto"/>
          <w:sz w:val="24"/>
          <w:lang w:eastAsia="zh-CN"/>
        </w:rPr>
      </w:pPr>
      <w:r>
        <w:rPr>
          <w:rFonts w:hint="eastAsia"/>
          <w:color w:val="auto"/>
          <w:sz w:val="24"/>
          <w:lang w:val="en-US" w:eastAsia="zh-CN"/>
        </w:rPr>
        <w:t>危险固废的暂存场所执行《危险废物贮存污染控制标准》</w:t>
      </w:r>
      <w:r>
        <w:rPr>
          <w:rFonts w:hint="default"/>
          <w:color w:val="auto"/>
          <w:sz w:val="24"/>
          <w:lang w:val="en-US" w:eastAsia="zh-CN"/>
        </w:rPr>
        <w:t>(GB18597-2023)</w:t>
      </w:r>
      <w:r>
        <w:rPr>
          <w:rFonts w:hint="eastAsia"/>
          <w:color w:val="auto"/>
          <w:sz w:val="24"/>
          <w:lang w:val="en-US" w:eastAsia="zh-CN"/>
        </w:rPr>
        <w:t>；一般固废的暂存执行《一般工业固体废物贮存和填埋污染控制标准》（</w:t>
      </w:r>
      <w:r>
        <w:rPr>
          <w:rFonts w:hint="default"/>
          <w:color w:val="auto"/>
          <w:sz w:val="24"/>
          <w:lang w:val="en-US" w:eastAsia="zh-CN"/>
        </w:rPr>
        <w:t>GB18599-2020</w:t>
      </w:r>
      <w:r>
        <w:rPr>
          <w:rFonts w:hint="eastAsia"/>
          <w:color w:val="auto"/>
          <w:sz w:val="24"/>
          <w:lang w:val="en-US" w:eastAsia="zh-CN"/>
        </w:rPr>
        <w:t xml:space="preserve">）中有关规定执行。 </w:t>
      </w:r>
    </w:p>
    <w:p w14:paraId="2B707DD1">
      <w:pPr>
        <w:pStyle w:val="6"/>
        <w:rPr>
          <w:rFonts w:hint="default"/>
          <w:lang w:val="en-US" w:eastAsia="zh-CN"/>
        </w:rPr>
        <w:sectPr>
          <w:pgSz w:w="11906" w:h="16838"/>
          <w:pgMar w:top="1701" w:right="1440" w:bottom="1701" w:left="1531" w:header="851" w:footer="992" w:gutter="0"/>
          <w:pgNumType w:fmt="decimal"/>
          <w:cols w:space="425" w:num="1"/>
          <w:docGrid w:type="lines" w:linePitch="312" w:charSpace="0"/>
        </w:sectPr>
      </w:pPr>
    </w:p>
    <w:p w14:paraId="2AC5A24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jc w:val="both"/>
        <w:textAlignment w:val="auto"/>
        <w:outlineLvl w:val="0"/>
        <w:rPr>
          <w:rFonts w:hint="eastAsia" w:ascii="Times New Roman" w:hAnsi="Times New Roman" w:cs="Times New Roman"/>
          <w:b/>
          <w:bCs/>
          <w:sz w:val="28"/>
          <w:szCs w:val="36"/>
          <w:lang w:eastAsia="zh-CN"/>
        </w:rPr>
      </w:pPr>
      <w:r>
        <w:rPr>
          <w:rFonts w:hint="eastAsia" w:ascii="Times New Roman" w:hAnsi="Times New Roman" w:cs="Times New Roman"/>
          <w:b/>
          <w:bCs/>
          <w:sz w:val="28"/>
          <w:szCs w:val="36"/>
          <w:lang w:eastAsia="zh-CN"/>
        </w:rPr>
        <w:t>三、建设项目（变动前后）环境影响分析</w:t>
      </w:r>
    </w:p>
    <w:p w14:paraId="085C171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outlineLvl w:val="1"/>
        <w:rPr>
          <w:rFonts w:hint="eastAsia" w:ascii="Times New Roman" w:hAnsi="Times New Roman" w:cs="Times New Roman"/>
          <w:b/>
          <w:bCs/>
          <w:sz w:val="24"/>
          <w:szCs w:val="32"/>
          <w:lang w:val="en-US" w:eastAsia="zh-CN"/>
        </w:rPr>
      </w:pPr>
      <w:r>
        <w:rPr>
          <w:rFonts w:hint="eastAsia" w:ascii="Times New Roman" w:hAnsi="Times New Roman" w:cs="Times New Roman"/>
          <w:b/>
          <w:bCs/>
          <w:sz w:val="24"/>
          <w:szCs w:val="32"/>
          <w:lang w:val="en-US" w:eastAsia="zh-CN"/>
        </w:rPr>
        <w:t>3.1变动前后污染物产排情况</w:t>
      </w:r>
    </w:p>
    <w:p w14:paraId="4BE905CD">
      <w:pPr>
        <w:numPr>
          <w:ilvl w:val="0"/>
          <w:numId w:val="0"/>
        </w:numPr>
        <w:adjustRightInd w:val="0"/>
        <w:snapToGrid w:val="0"/>
        <w:spacing w:line="360" w:lineRule="auto"/>
        <w:ind w:firstLine="480" w:firstLineChars="200"/>
        <w:rPr>
          <w:rFonts w:hint="eastAsia" w:ascii="Times New Roman" w:hAnsi="Times New Roman" w:cs="Times New Roman"/>
          <w:color w:val="auto"/>
          <w:sz w:val="24"/>
          <w:lang w:eastAsia="zh-CN"/>
        </w:rPr>
      </w:pPr>
      <w:r>
        <w:rPr>
          <w:rFonts w:hint="eastAsia" w:ascii="Times New Roman" w:hAnsi="Times New Roman" w:cs="Times New Roman"/>
          <w:color w:val="auto"/>
          <w:sz w:val="24"/>
          <w:lang w:val="en-US" w:eastAsia="zh-CN"/>
        </w:rPr>
        <w:t>项目变化主要为废气收集和治理措施变化，项目产品产能、原辅料、设备、工艺均未发生变化，废气排放总量发生变化。</w:t>
      </w:r>
    </w:p>
    <w:p w14:paraId="4C10F53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outlineLvl w:val="1"/>
        <w:rPr>
          <w:rFonts w:hint="eastAsia" w:ascii="Times New Roman" w:hAnsi="Times New Roman" w:cs="Times New Roman"/>
          <w:b/>
          <w:bCs/>
          <w:sz w:val="24"/>
          <w:szCs w:val="32"/>
          <w:lang w:val="en-US" w:eastAsia="zh-CN"/>
        </w:rPr>
      </w:pPr>
      <w:r>
        <w:rPr>
          <w:rFonts w:hint="eastAsia" w:ascii="Times New Roman" w:hAnsi="Times New Roman" w:cs="Times New Roman"/>
          <w:b/>
          <w:bCs/>
          <w:sz w:val="24"/>
          <w:szCs w:val="32"/>
          <w:lang w:val="en-US" w:eastAsia="zh-CN"/>
        </w:rPr>
        <w:t>3.2项目变动后对区域环境的影响</w:t>
      </w:r>
    </w:p>
    <w:p w14:paraId="5A876D72">
      <w:pPr>
        <w:numPr>
          <w:ilvl w:val="0"/>
          <w:numId w:val="0"/>
        </w:numPr>
        <w:adjustRightInd w:val="0"/>
        <w:snapToGrid w:val="0"/>
        <w:spacing w:line="360" w:lineRule="auto"/>
        <w:ind w:firstLine="482" w:firstLineChars="200"/>
        <w:outlineLvl w:val="2"/>
        <w:rPr>
          <w:rFonts w:hint="eastAsia" w:ascii="Times New Roman" w:hAnsi="Times New Roman" w:cs="Times New Roman"/>
          <w:b/>
          <w:bCs/>
          <w:color w:val="auto"/>
          <w:sz w:val="24"/>
          <w:lang w:val="en-US" w:eastAsia="zh-CN"/>
        </w:rPr>
      </w:pPr>
      <w:r>
        <w:rPr>
          <w:rFonts w:hint="eastAsia" w:ascii="Times New Roman" w:hAnsi="Times New Roman" w:cs="Times New Roman"/>
          <w:b/>
          <w:bCs/>
          <w:color w:val="auto"/>
          <w:sz w:val="24"/>
          <w:lang w:val="en-US" w:eastAsia="zh-CN"/>
        </w:rPr>
        <w:t>3.2.1废水</w:t>
      </w:r>
    </w:p>
    <w:p w14:paraId="698F8D2D">
      <w:pPr>
        <w:numPr>
          <w:ilvl w:val="0"/>
          <w:numId w:val="0"/>
        </w:numPr>
        <w:adjustRightInd w:val="0"/>
        <w:snapToGrid w:val="0"/>
        <w:spacing w:line="360" w:lineRule="auto"/>
        <w:ind w:firstLine="480" w:firstLineChars="200"/>
        <w:rPr>
          <w:color w:val="auto"/>
          <w:sz w:val="24"/>
        </w:rPr>
      </w:pPr>
      <w:r>
        <w:rPr>
          <w:rFonts w:hint="default" w:ascii="Times New Roman" w:hAnsi="Times New Roman" w:eastAsia="宋体" w:cs="Times New Roman"/>
          <w:color w:val="auto"/>
          <w:sz w:val="24"/>
          <w:szCs w:val="28"/>
          <w:highlight w:val="none"/>
          <w:lang w:bidi="ar"/>
        </w:rPr>
        <w:t>项目</w:t>
      </w:r>
      <w:r>
        <w:rPr>
          <w:rFonts w:hint="default" w:ascii="Times New Roman" w:hAnsi="Times New Roman" w:cs="Times New Roman"/>
          <w:color w:val="auto"/>
          <w:sz w:val="24"/>
          <w:szCs w:val="28"/>
          <w:highlight w:val="none"/>
          <w:lang w:val="en-US" w:eastAsia="zh-CN" w:bidi="ar"/>
        </w:rPr>
        <w:t>废水为水喷淋塔废水、</w:t>
      </w:r>
      <w:r>
        <w:rPr>
          <w:rFonts w:hint="default" w:ascii="Times New Roman" w:hAnsi="Times New Roman" w:cs="Times New Roman"/>
          <w:color w:val="auto"/>
          <w:sz w:val="24"/>
          <w:szCs w:val="24"/>
          <w:highlight w:val="none"/>
          <w:lang w:val="en-US" w:eastAsia="zh-CN"/>
        </w:rPr>
        <w:t>水洗塔废水和初期雨水</w:t>
      </w:r>
      <w:r>
        <w:rPr>
          <w:rFonts w:hint="default" w:ascii="Times New Roman" w:hAnsi="Times New Roman" w:cs="Times New Roman"/>
          <w:color w:val="auto"/>
          <w:sz w:val="24"/>
          <w:szCs w:val="28"/>
          <w:highlight w:val="none"/>
          <w:lang w:val="en-US" w:eastAsia="zh-CN" w:bidi="ar"/>
        </w:rPr>
        <w:t>，水喷淋塔废水、</w:t>
      </w:r>
      <w:r>
        <w:rPr>
          <w:rFonts w:hint="default" w:ascii="Times New Roman" w:hAnsi="Times New Roman" w:cs="Times New Roman"/>
          <w:color w:val="auto"/>
          <w:sz w:val="24"/>
          <w:szCs w:val="24"/>
          <w:highlight w:val="none"/>
          <w:lang w:val="en-US" w:eastAsia="zh-CN"/>
        </w:rPr>
        <w:t>水洗塔废水直接回用于挤压造粒生产线，初期雨水经初期雨水收集池沉淀后回用于挤压造粒生产线</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项目无废水外排</w:t>
      </w:r>
      <w:r>
        <w:rPr>
          <w:color w:val="auto"/>
          <w:sz w:val="24"/>
        </w:rPr>
        <w:t>。</w:t>
      </w:r>
    </w:p>
    <w:p w14:paraId="213D2FEE">
      <w:pPr>
        <w:numPr>
          <w:ilvl w:val="0"/>
          <w:numId w:val="0"/>
        </w:numPr>
        <w:adjustRightInd w:val="0"/>
        <w:snapToGrid w:val="0"/>
        <w:spacing w:line="360" w:lineRule="auto"/>
        <w:ind w:firstLine="480" w:firstLineChars="200"/>
        <w:rPr>
          <w:rFonts w:hint="eastAsia" w:ascii="Times New Roman" w:hAnsi="Times New Roman" w:cs="Times New Roman"/>
          <w:color w:val="auto"/>
          <w:sz w:val="24"/>
          <w:lang w:val="en-US" w:eastAsia="zh-CN"/>
        </w:rPr>
      </w:pPr>
      <w:r>
        <w:rPr>
          <w:rFonts w:hint="eastAsia" w:ascii="Times New Roman" w:hAnsi="Times New Roman" w:cs="Times New Roman"/>
          <w:color w:val="auto"/>
          <w:sz w:val="24"/>
          <w:lang w:val="en-US" w:eastAsia="zh-CN"/>
        </w:rPr>
        <w:t>与环评设计一致，因此，原环评报告中对项目的废水分析结论不变。</w:t>
      </w:r>
    </w:p>
    <w:p w14:paraId="3C4D46DD">
      <w:pPr>
        <w:numPr>
          <w:ilvl w:val="0"/>
          <w:numId w:val="0"/>
        </w:numPr>
        <w:adjustRightInd w:val="0"/>
        <w:snapToGrid w:val="0"/>
        <w:spacing w:line="360" w:lineRule="auto"/>
        <w:ind w:firstLine="482" w:firstLineChars="200"/>
        <w:outlineLvl w:val="2"/>
        <w:rPr>
          <w:rFonts w:hint="eastAsia" w:ascii="Times New Roman" w:hAnsi="Times New Roman" w:cs="Times New Roman"/>
          <w:b/>
          <w:bCs/>
          <w:color w:val="auto"/>
          <w:sz w:val="24"/>
          <w:lang w:eastAsia="zh-CN"/>
        </w:rPr>
      </w:pPr>
      <w:r>
        <w:rPr>
          <w:rFonts w:hint="eastAsia" w:ascii="Times New Roman" w:hAnsi="Times New Roman" w:cs="Times New Roman"/>
          <w:b/>
          <w:bCs/>
          <w:color w:val="auto"/>
          <w:sz w:val="24"/>
          <w:lang w:val="en-US" w:eastAsia="zh-CN"/>
        </w:rPr>
        <w:t>3.2.2废气</w:t>
      </w:r>
    </w:p>
    <w:p w14:paraId="38230D42">
      <w:pPr>
        <w:numPr>
          <w:ilvl w:val="0"/>
          <w:numId w:val="0"/>
        </w:numPr>
        <w:adjustRightInd w:val="0"/>
        <w:snapToGrid w:val="0"/>
        <w:spacing w:line="360" w:lineRule="auto"/>
        <w:ind w:firstLine="480" w:firstLineChars="200"/>
        <w:rPr>
          <w:rFonts w:hint="default" w:ascii="Times New Roman" w:hAnsi="Times New Roman" w:cs="Times New Roman"/>
          <w:color w:val="auto"/>
          <w:sz w:val="24"/>
          <w:lang w:val="en-US" w:eastAsia="zh-CN"/>
        </w:rPr>
      </w:pPr>
      <w:r>
        <w:rPr>
          <w:rFonts w:hint="eastAsia" w:ascii="Times New Roman" w:hAnsi="Times New Roman" w:cs="Times New Roman"/>
          <w:color w:val="auto"/>
          <w:sz w:val="24"/>
          <w:lang w:val="en-US" w:eastAsia="zh-CN"/>
        </w:rPr>
        <w:t>项目废气收集、治理措施发生变化，废气排放量发生变化。</w:t>
      </w:r>
    </w:p>
    <w:p w14:paraId="70C3F9AB">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color w:val="auto"/>
          <w:sz w:val="24"/>
          <w:szCs w:val="28"/>
          <w:highlight w:val="none"/>
          <w:lang w:val="en-US" w:eastAsia="zh-CN" w:bidi="ar"/>
        </w:rPr>
      </w:pPr>
      <w:r>
        <w:rPr>
          <w:rFonts w:hint="eastAsia" w:ascii="Times New Roman" w:hAnsi="Times New Roman" w:eastAsia="宋体" w:cs="Times New Roman"/>
          <w:b/>
          <w:bCs/>
          <w:color w:val="auto"/>
          <w:sz w:val="24"/>
          <w:szCs w:val="28"/>
          <w:highlight w:val="none"/>
          <w:lang w:val="en-US" w:eastAsia="zh-CN" w:bidi="ar"/>
        </w:rPr>
        <w:t>1、有组织废气</w:t>
      </w:r>
    </w:p>
    <w:p w14:paraId="3B3B40DA">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color w:val="auto"/>
          <w:sz w:val="24"/>
          <w:szCs w:val="28"/>
          <w:highlight w:val="none"/>
          <w:lang w:val="en-US" w:bidi="ar"/>
        </w:rPr>
      </w:pPr>
      <w:r>
        <w:rPr>
          <w:rFonts w:hint="eastAsia" w:ascii="Times New Roman" w:hAnsi="Times New Roman" w:eastAsia="宋体" w:cs="Times New Roman"/>
          <w:b/>
          <w:bCs/>
          <w:color w:val="auto"/>
          <w:sz w:val="24"/>
          <w:szCs w:val="28"/>
          <w:highlight w:val="none"/>
          <w:lang w:val="en-US" w:eastAsia="zh-CN" w:bidi="ar"/>
        </w:rPr>
        <w:t>（1）</w:t>
      </w:r>
      <w:r>
        <w:rPr>
          <w:rFonts w:hint="default" w:ascii="Times New Roman" w:hAnsi="Times New Roman" w:cs="Times New Roman"/>
          <w:b/>
          <w:bCs/>
          <w:color w:val="auto"/>
          <w:sz w:val="24"/>
          <w:szCs w:val="28"/>
          <w:highlight w:val="none"/>
          <w:lang w:val="en-US" w:eastAsia="zh-CN" w:bidi="ar"/>
        </w:rPr>
        <w:t>挤压</w:t>
      </w:r>
      <w:r>
        <w:rPr>
          <w:rFonts w:hint="default" w:ascii="Times New Roman" w:hAnsi="Times New Roman" w:eastAsia="宋体" w:cs="Times New Roman"/>
          <w:b/>
          <w:bCs/>
          <w:color w:val="auto"/>
          <w:sz w:val="24"/>
          <w:szCs w:val="28"/>
          <w:highlight w:val="none"/>
          <w:lang w:val="en-US" w:eastAsia="zh-CN" w:bidi="ar"/>
        </w:rPr>
        <w:t>造粒生产线废气</w:t>
      </w:r>
    </w:p>
    <w:p w14:paraId="63F298C0">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8"/>
          <w:highlight w:val="none"/>
          <w:lang w:val="en-US" w:eastAsia="zh-CN" w:bidi="ar"/>
        </w:rPr>
      </w:pPr>
      <w:r>
        <w:rPr>
          <w:rFonts w:hint="default" w:ascii="Times New Roman" w:hAnsi="Times New Roman" w:eastAsia="宋体" w:cs="Times New Roman"/>
          <w:color w:val="auto"/>
          <w:sz w:val="24"/>
          <w:szCs w:val="28"/>
          <w:highlight w:val="none"/>
          <w:lang w:val="en-US" w:eastAsia="zh-CN" w:bidi="ar"/>
        </w:rPr>
        <w:t>1）颗粒物</w:t>
      </w:r>
    </w:p>
    <w:p w14:paraId="736545B3">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8"/>
          <w:highlight w:val="none"/>
          <w:lang w:val="en-US" w:eastAsia="zh-CN" w:bidi="ar"/>
        </w:rPr>
      </w:pPr>
      <w:r>
        <w:rPr>
          <w:rFonts w:hint="default" w:ascii="Times New Roman" w:hAnsi="Times New Roman" w:eastAsia="宋体" w:cs="Times New Roman"/>
          <w:color w:val="auto"/>
          <w:sz w:val="24"/>
          <w:szCs w:val="28"/>
          <w:highlight w:val="none"/>
          <w:lang w:bidi="ar"/>
        </w:rPr>
        <w:t>参照《排放源统计调查产排污核算方法和系数手册》</w:t>
      </w:r>
      <w:r>
        <w:rPr>
          <w:rFonts w:hint="default" w:ascii="Times New Roman" w:hAnsi="Times New Roman" w:eastAsia="宋体" w:cs="Times New Roman"/>
          <w:color w:val="auto"/>
          <w:sz w:val="24"/>
          <w:szCs w:val="28"/>
          <w:highlight w:val="none"/>
          <w:lang w:val="en-US" w:eastAsia="zh-CN" w:bidi="ar"/>
        </w:rPr>
        <w:t>-2624复混肥料制造行业</w:t>
      </w:r>
      <w:r>
        <w:rPr>
          <w:rFonts w:hint="default" w:ascii="Times New Roman" w:hAnsi="Times New Roman" w:eastAsia="宋体" w:cs="Times New Roman"/>
          <w:color w:val="auto"/>
          <w:sz w:val="24"/>
          <w:szCs w:val="28"/>
          <w:highlight w:val="none"/>
          <w:lang w:bidi="ar"/>
        </w:rPr>
        <w:t>系数</w:t>
      </w:r>
      <w:r>
        <w:rPr>
          <w:rFonts w:hint="default" w:ascii="Times New Roman" w:hAnsi="Times New Roman" w:eastAsia="宋体" w:cs="Times New Roman"/>
          <w:color w:val="auto"/>
          <w:sz w:val="24"/>
          <w:szCs w:val="28"/>
          <w:highlight w:val="none"/>
          <w:lang w:val="en-US" w:eastAsia="zh-CN" w:bidi="ar"/>
        </w:rPr>
        <w:t>手册-复混肥料-团粒法</w:t>
      </w:r>
      <w:r>
        <w:rPr>
          <w:rFonts w:hint="default" w:ascii="Times New Roman" w:hAnsi="Times New Roman" w:eastAsia="宋体" w:cs="Times New Roman"/>
          <w:color w:val="auto"/>
          <w:sz w:val="24"/>
          <w:szCs w:val="28"/>
          <w:highlight w:val="none"/>
          <w:lang w:bidi="ar"/>
        </w:rPr>
        <w:t>，本项目</w:t>
      </w:r>
      <w:r>
        <w:rPr>
          <w:rFonts w:hint="default" w:ascii="Times New Roman" w:hAnsi="Times New Roman" w:cs="Times New Roman"/>
          <w:color w:val="auto"/>
          <w:sz w:val="24"/>
          <w:szCs w:val="28"/>
          <w:highlight w:val="none"/>
          <w:lang w:val="en-US" w:eastAsia="zh-CN" w:bidi="ar"/>
        </w:rPr>
        <w:t>挤压</w:t>
      </w:r>
      <w:r>
        <w:rPr>
          <w:rFonts w:hint="default" w:ascii="Times New Roman" w:hAnsi="Times New Roman" w:eastAsia="宋体" w:cs="Times New Roman"/>
          <w:color w:val="auto"/>
          <w:sz w:val="24"/>
          <w:szCs w:val="28"/>
          <w:highlight w:val="none"/>
          <w:lang w:val="en-US" w:eastAsia="zh-CN" w:bidi="ar"/>
        </w:rPr>
        <w:t>造粒生产线颗粒物产生量为10.1千克/吨-产品，本项目</w:t>
      </w:r>
      <w:r>
        <w:rPr>
          <w:rFonts w:hint="default" w:ascii="Times New Roman" w:hAnsi="Times New Roman" w:cs="Times New Roman"/>
          <w:color w:val="auto"/>
          <w:sz w:val="24"/>
          <w:szCs w:val="28"/>
          <w:highlight w:val="none"/>
          <w:lang w:val="en-US" w:eastAsia="zh-CN" w:bidi="ar"/>
        </w:rPr>
        <w:t>挤压</w:t>
      </w:r>
      <w:r>
        <w:rPr>
          <w:rFonts w:hint="default" w:ascii="Times New Roman" w:hAnsi="Times New Roman" w:eastAsia="宋体" w:cs="Times New Roman"/>
          <w:color w:val="auto"/>
          <w:sz w:val="24"/>
          <w:szCs w:val="28"/>
          <w:highlight w:val="none"/>
          <w:lang w:val="en-US" w:eastAsia="zh-CN" w:bidi="ar"/>
        </w:rPr>
        <w:t>造粒复混肥产能为10万吨/年，则</w:t>
      </w:r>
      <w:r>
        <w:rPr>
          <w:rFonts w:hint="default" w:ascii="Times New Roman" w:hAnsi="Times New Roman" w:cs="Times New Roman"/>
          <w:color w:val="auto"/>
          <w:sz w:val="24"/>
          <w:szCs w:val="28"/>
          <w:highlight w:val="none"/>
          <w:lang w:val="en-US" w:eastAsia="zh-CN" w:bidi="ar"/>
        </w:rPr>
        <w:t>挤压</w:t>
      </w:r>
      <w:r>
        <w:rPr>
          <w:rFonts w:hint="default" w:ascii="Times New Roman" w:hAnsi="Times New Roman" w:eastAsia="宋体" w:cs="Times New Roman"/>
          <w:color w:val="auto"/>
          <w:sz w:val="24"/>
          <w:szCs w:val="28"/>
          <w:highlight w:val="none"/>
          <w:lang w:val="en-US" w:eastAsia="zh-CN" w:bidi="ar"/>
        </w:rPr>
        <w:t>造粒生产线颗粒物产生量为1010t/a。</w:t>
      </w:r>
    </w:p>
    <w:p w14:paraId="5FE413D6">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8"/>
          <w:highlight w:val="none"/>
          <w:lang w:val="en-US" w:eastAsia="zh-CN" w:bidi="ar"/>
        </w:rPr>
      </w:pPr>
      <w:r>
        <w:rPr>
          <w:rFonts w:hint="default" w:ascii="Times New Roman" w:hAnsi="Times New Roman" w:eastAsia="宋体" w:cs="Times New Roman"/>
          <w:color w:val="auto"/>
          <w:sz w:val="24"/>
          <w:szCs w:val="28"/>
          <w:highlight w:val="none"/>
          <w:lang w:val="en-US" w:eastAsia="zh-CN" w:bidi="ar"/>
        </w:rPr>
        <w:t>①</w:t>
      </w:r>
      <w:r>
        <w:rPr>
          <w:rFonts w:hint="eastAsia" w:ascii="Times New Roman" w:hAnsi="Times New Roman" w:eastAsia="宋体" w:cs="Times New Roman"/>
          <w:color w:val="auto"/>
          <w:sz w:val="24"/>
          <w:szCs w:val="28"/>
          <w:highlight w:val="none"/>
          <w:lang w:val="en-US" w:eastAsia="zh-CN" w:bidi="ar"/>
        </w:rPr>
        <w:t>投料</w:t>
      </w:r>
    </w:p>
    <w:p w14:paraId="28767A3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cs="Times New Roman"/>
          <w:sz w:val="24"/>
          <w:szCs w:val="32"/>
          <w:lang w:val="en-US" w:eastAsia="zh-CN"/>
        </w:rPr>
      </w:pPr>
      <w:r>
        <w:rPr>
          <w:rFonts w:hint="eastAsia" w:ascii="Times New Roman" w:hAnsi="Times New Roman" w:eastAsia="宋体" w:cs="Times New Roman"/>
          <w:color w:val="auto"/>
          <w:sz w:val="24"/>
          <w:szCs w:val="28"/>
          <w:highlight w:val="none"/>
          <w:lang w:val="en-US" w:eastAsia="zh-CN" w:bidi="ar"/>
        </w:rPr>
        <w:t>挤压造粒生产线颗粒物约2.5%的废气在投料工序产生，则投料工序颗粒物产生量为25.25t/a。挤压造粒生产线原料</w:t>
      </w:r>
      <w:r>
        <w:rPr>
          <w:rFonts w:hint="eastAsia" w:ascii="Times New Roman" w:hAnsi="Times New Roman" w:cs="Times New Roman"/>
          <w:sz w:val="24"/>
          <w:szCs w:val="32"/>
          <w:lang w:val="en-US" w:eastAsia="zh-CN"/>
        </w:rPr>
        <w:t>采用叉车整包倒置投入投料漏斗中，包装袋与投料口密合，袋口倒置，在漏斗内拆包，粉尘逸出量较少，约为产生量的1%，其余废气与物料一起作为原料进入下一工序，则投料过程颗粒物无组织排放量为0.2525t/a。</w:t>
      </w:r>
    </w:p>
    <w:p w14:paraId="2946C9B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8"/>
          <w:highlight w:val="none"/>
          <w:lang w:val="en-US" w:eastAsia="zh-CN" w:bidi="ar"/>
        </w:rPr>
      </w:pPr>
      <w:r>
        <w:rPr>
          <w:rFonts w:hint="default" w:ascii="Times New Roman" w:hAnsi="Times New Roman" w:eastAsia="宋体" w:cs="Times New Roman"/>
          <w:color w:val="auto"/>
          <w:sz w:val="24"/>
          <w:szCs w:val="28"/>
          <w:highlight w:val="none"/>
          <w:lang w:val="en-US" w:eastAsia="zh-CN" w:bidi="ar"/>
        </w:rPr>
        <w:t>②</w:t>
      </w:r>
      <w:r>
        <w:rPr>
          <w:rFonts w:hint="eastAsia" w:ascii="Times New Roman" w:hAnsi="Times New Roman" w:eastAsia="宋体" w:cs="Times New Roman"/>
          <w:color w:val="auto"/>
          <w:sz w:val="24"/>
          <w:szCs w:val="28"/>
          <w:highlight w:val="none"/>
          <w:lang w:val="en-US" w:eastAsia="zh-CN" w:bidi="ar"/>
        </w:rPr>
        <w:t>破碎、搅拌</w:t>
      </w:r>
    </w:p>
    <w:p w14:paraId="7C9DB586">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8"/>
          <w:highlight w:val="none"/>
          <w:lang w:val="en-US" w:eastAsia="zh-CN" w:bidi="ar"/>
        </w:rPr>
      </w:pPr>
      <w:r>
        <w:rPr>
          <w:rFonts w:hint="eastAsia" w:ascii="Times New Roman" w:hAnsi="Times New Roman" w:eastAsia="宋体" w:cs="Times New Roman"/>
          <w:color w:val="auto"/>
          <w:sz w:val="24"/>
          <w:szCs w:val="28"/>
          <w:highlight w:val="none"/>
          <w:lang w:val="en-US" w:eastAsia="zh-CN" w:bidi="ar"/>
        </w:rPr>
        <w:t>挤压造粒生产线颗粒物约37.5%的废气在破碎、搅拌工序产生，破碎、搅拌设备均为密闭连通设备，搅拌废气随物料一起进入挤压造粒系统，作为挤压造粒工艺原料，无废气排放</w:t>
      </w:r>
      <w:r>
        <w:rPr>
          <w:rFonts w:hint="eastAsia" w:ascii="Times New Roman" w:hAnsi="Times New Roman" w:cs="Times New Roman"/>
          <w:sz w:val="24"/>
          <w:szCs w:val="32"/>
          <w:lang w:val="en-US" w:eastAsia="zh-CN"/>
        </w:rPr>
        <w:t>。</w:t>
      </w:r>
    </w:p>
    <w:p w14:paraId="6C4E104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8"/>
          <w:highlight w:val="none"/>
          <w:lang w:val="en-US" w:eastAsia="zh-CN" w:bidi="ar"/>
        </w:rPr>
      </w:pPr>
      <w:r>
        <w:rPr>
          <w:rFonts w:hint="default" w:ascii="Times New Roman" w:hAnsi="Times New Roman" w:eastAsia="宋体" w:cs="Times New Roman"/>
          <w:color w:val="auto"/>
          <w:sz w:val="24"/>
          <w:szCs w:val="28"/>
          <w:highlight w:val="none"/>
          <w:lang w:val="en-US" w:eastAsia="zh-CN" w:bidi="ar"/>
        </w:rPr>
        <w:t>③</w:t>
      </w:r>
      <w:r>
        <w:rPr>
          <w:rFonts w:hint="eastAsia" w:ascii="Times New Roman" w:hAnsi="Times New Roman" w:eastAsia="宋体" w:cs="Times New Roman"/>
          <w:color w:val="auto"/>
          <w:sz w:val="24"/>
          <w:szCs w:val="28"/>
          <w:highlight w:val="none"/>
          <w:lang w:val="en-US" w:eastAsia="zh-CN" w:bidi="ar"/>
        </w:rPr>
        <w:t>挤压造粒</w:t>
      </w:r>
    </w:p>
    <w:p w14:paraId="23FE349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8"/>
          <w:highlight w:val="none"/>
          <w:lang w:val="en-US" w:eastAsia="zh-CN" w:bidi="ar"/>
        </w:rPr>
      </w:pPr>
      <w:r>
        <w:rPr>
          <w:rFonts w:hint="eastAsia" w:ascii="Times New Roman" w:hAnsi="Times New Roman" w:eastAsia="宋体" w:cs="Times New Roman"/>
          <w:color w:val="auto"/>
          <w:sz w:val="24"/>
          <w:szCs w:val="28"/>
          <w:highlight w:val="none"/>
          <w:lang w:val="en-US" w:eastAsia="zh-CN" w:bidi="ar"/>
        </w:rPr>
        <w:t>挤压造粒生产线颗粒物约10%的废气在</w:t>
      </w:r>
      <w:r>
        <w:rPr>
          <w:rFonts w:hint="eastAsia" w:ascii="Times New Roman" w:hAnsi="Times New Roman" w:cs="Times New Roman"/>
          <w:color w:val="auto"/>
          <w:sz w:val="24"/>
          <w:szCs w:val="28"/>
          <w:highlight w:val="none"/>
          <w:lang w:val="en-US" w:eastAsia="zh-CN" w:bidi="ar"/>
        </w:rPr>
        <w:t>挤压造粒</w:t>
      </w:r>
      <w:r>
        <w:rPr>
          <w:rFonts w:hint="eastAsia" w:ascii="Times New Roman" w:hAnsi="Times New Roman" w:eastAsia="宋体" w:cs="Times New Roman"/>
          <w:color w:val="auto"/>
          <w:sz w:val="24"/>
          <w:szCs w:val="28"/>
          <w:highlight w:val="none"/>
          <w:lang w:val="en-US" w:eastAsia="zh-CN" w:bidi="ar"/>
        </w:rPr>
        <w:t>工序产生，则</w:t>
      </w:r>
      <w:r>
        <w:rPr>
          <w:rFonts w:hint="eastAsia" w:ascii="Times New Roman" w:hAnsi="Times New Roman" w:cs="Times New Roman"/>
          <w:color w:val="auto"/>
          <w:sz w:val="24"/>
          <w:szCs w:val="28"/>
          <w:highlight w:val="none"/>
          <w:lang w:val="en-US" w:eastAsia="zh-CN" w:bidi="ar"/>
        </w:rPr>
        <w:t>挤压造粒工序颗粒物产生量为101t/a，挤压造粒设备全密闭，</w:t>
      </w:r>
      <w:r>
        <w:rPr>
          <w:rFonts w:hint="eastAsia" w:ascii="Times New Roman" w:hAnsi="Times New Roman" w:eastAsia="宋体" w:cs="Times New Roman"/>
          <w:color w:val="auto"/>
          <w:sz w:val="24"/>
          <w:szCs w:val="28"/>
          <w:highlight w:val="none"/>
          <w:lang w:val="en-US" w:eastAsia="zh-CN" w:bidi="ar"/>
        </w:rPr>
        <w:t>挤压造粒</w:t>
      </w:r>
      <w:r>
        <w:rPr>
          <w:rFonts w:hint="default" w:ascii="Times New Roman" w:hAnsi="Times New Roman" w:eastAsia="宋体" w:cs="Times New Roman"/>
          <w:color w:val="auto"/>
          <w:sz w:val="24"/>
          <w:szCs w:val="28"/>
          <w:highlight w:val="none"/>
          <w:lang w:val="en-US" w:eastAsia="zh-CN" w:bidi="ar"/>
        </w:rPr>
        <w:t>废气经1套“</w:t>
      </w:r>
      <w:r>
        <w:rPr>
          <w:rFonts w:hint="eastAsia" w:ascii="Times New Roman" w:hAnsi="Times New Roman" w:eastAsia="宋体" w:cs="Times New Roman"/>
          <w:color w:val="auto"/>
          <w:sz w:val="24"/>
          <w:szCs w:val="28"/>
          <w:highlight w:val="none"/>
          <w:lang w:val="en-US" w:eastAsia="zh-CN" w:bidi="ar"/>
        </w:rPr>
        <w:t>脉冲袋式除尘器</w:t>
      </w:r>
      <w:r>
        <w:rPr>
          <w:rFonts w:hint="default" w:ascii="Times New Roman" w:hAnsi="Times New Roman" w:eastAsia="宋体" w:cs="Times New Roman"/>
          <w:color w:val="auto"/>
          <w:sz w:val="24"/>
          <w:szCs w:val="28"/>
          <w:highlight w:val="none"/>
          <w:lang w:val="en-US" w:eastAsia="zh-CN" w:bidi="ar"/>
        </w:rPr>
        <w:t>+重力沉降室”</w:t>
      </w:r>
      <w:r>
        <w:rPr>
          <w:rFonts w:hint="eastAsia" w:ascii="Times New Roman" w:hAnsi="Times New Roman" w:eastAsia="宋体" w:cs="Times New Roman"/>
          <w:color w:val="auto"/>
          <w:sz w:val="24"/>
          <w:szCs w:val="28"/>
          <w:highlight w:val="none"/>
          <w:lang w:val="en-US" w:eastAsia="zh-CN" w:bidi="ar"/>
        </w:rPr>
        <w:t>预</w:t>
      </w:r>
      <w:r>
        <w:rPr>
          <w:rFonts w:hint="default" w:ascii="Times New Roman" w:hAnsi="Times New Roman" w:eastAsia="宋体" w:cs="Times New Roman"/>
          <w:color w:val="auto"/>
          <w:sz w:val="24"/>
          <w:szCs w:val="28"/>
          <w:highlight w:val="none"/>
          <w:lang w:val="en-US" w:eastAsia="zh-CN" w:bidi="ar"/>
        </w:rPr>
        <w:t>处理</w:t>
      </w:r>
      <w:r>
        <w:rPr>
          <w:rFonts w:hint="eastAsia" w:ascii="Times New Roman" w:hAnsi="Times New Roman" w:eastAsia="宋体" w:cs="Times New Roman"/>
          <w:color w:val="auto"/>
          <w:sz w:val="24"/>
          <w:szCs w:val="28"/>
          <w:highlight w:val="none"/>
          <w:lang w:val="en-US" w:eastAsia="zh-CN" w:bidi="ar"/>
        </w:rPr>
        <w:t>后与其他废气一起经水洗塔处理后通过25m排气筒排放</w:t>
      </w:r>
      <w:r>
        <w:rPr>
          <w:rFonts w:hint="default" w:ascii="Times New Roman" w:hAnsi="Times New Roman" w:eastAsia="宋体" w:cs="Times New Roman"/>
          <w:color w:val="auto"/>
          <w:sz w:val="24"/>
          <w:szCs w:val="28"/>
          <w:highlight w:val="none"/>
          <w:lang w:val="en-US" w:eastAsia="zh-CN" w:bidi="ar"/>
        </w:rPr>
        <w:t>，</w:t>
      </w:r>
      <w:r>
        <w:rPr>
          <w:rFonts w:hint="eastAsia" w:ascii="Times New Roman" w:hAnsi="Times New Roman" w:eastAsia="宋体" w:cs="Times New Roman"/>
          <w:color w:val="auto"/>
          <w:sz w:val="24"/>
          <w:szCs w:val="28"/>
          <w:highlight w:val="none"/>
          <w:lang w:val="en-US" w:eastAsia="zh-CN" w:bidi="ar"/>
        </w:rPr>
        <w:t>废气处理效率为99.8%，则挤压造粒废气颗粒物有组织排放量为0.202t/a。</w:t>
      </w:r>
    </w:p>
    <w:p w14:paraId="1D5E4C8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8"/>
          <w:highlight w:val="none"/>
          <w:lang w:val="en-US" w:eastAsia="zh-CN" w:bidi="ar"/>
        </w:rPr>
      </w:pPr>
      <w:r>
        <w:rPr>
          <w:rFonts w:hint="eastAsia" w:ascii="Times New Roman" w:hAnsi="Times New Roman" w:eastAsia="宋体" w:cs="Times New Roman"/>
          <w:color w:val="auto"/>
          <w:sz w:val="24"/>
          <w:szCs w:val="28"/>
          <w:highlight w:val="none"/>
          <w:lang w:val="en-US" w:eastAsia="zh-CN" w:bidi="ar"/>
        </w:rPr>
        <w:t>④烘干、冷却、筛分、包膜</w:t>
      </w:r>
    </w:p>
    <w:p w14:paraId="5447E9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8"/>
          <w:highlight w:val="none"/>
          <w:lang w:val="en-US" w:eastAsia="zh-CN" w:bidi="ar"/>
        </w:rPr>
      </w:pPr>
      <w:r>
        <w:rPr>
          <w:rFonts w:hint="eastAsia" w:ascii="Times New Roman" w:hAnsi="Times New Roman" w:eastAsia="宋体" w:cs="Times New Roman"/>
          <w:color w:val="auto"/>
          <w:sz w:val="24"/>
          <w:szCs w:val="28"/>
          <w:highlight w:val="none"/>
          <w:lang w:val="en-US" w:eastAsia="zh-CN" w:bidi="ar"/>
        </w:rPr>
        <w:t>挤压造粒生产线颗粒物约47.5%的废气在</w:t>
      </w:r>
      <w:r>
        <w:rPr>
          <w:rFonts w:hint="eastAsia" w:ascii="Times New Roman" w:hAnsi="Times New Roman" w:cs="Times New Roman"/>
          <w:color w:val="auto"/>
          <w:sz w:val="24"/>
          <w:szCs w:val="28"/>
          <w:highlight w:val="none"/>
          <w:lang w:val="en-US" w:eastAsia="zh-CN" w:bidi="ar"/>
        </w:rPr>
        <w:t>烘干、冷却、筛分、包膜</w:t>
      </w:r>
      <w:r>
        <w:rPr>
          <w:rFonts w:hint="eastAsia" w:ascii="Times New Roman" w:hAnsi="Times New Roman" w:eastAsia="宋体" w:cs="Times New Roman"/>
          <w:color w:val="auto"/>
          <w:sz w:val="24"/>
          <w:szCs w:val="28"/>
          <w:highlight w:val="none"/>
          <w:lang w:val="en-US" w:eastAsia="zh-CN" w:bidi="ar"/>
        </w:rPr>
        <w:t>工序产生，则</w:t>
      </w:r>
      <w:r>
        <w:rPr>
          <w:rFonts w:hint="eastAsia" w:ascii="Times New Roman" w:hAnsi="Times New Roman" w:cs="Times New Roman"/>
          <w:color w:val="auto"/>
          <w:sz w:val="24"/>
          <w:szCs w:val="28"/>
          <w:highlight w:val="none"/>
          <w:lang w:val="en-US" w:eastAsia="zh-CN" w:bidi="ar"/>
        </w:rPr>
        <w:t>烘干、冷却、筛分、包膜工序颗粒物产生量为479.75t/a，烘干、冷却、筛分、包膜设备全密闭，</w:t>
      </w:r>
      <w:r>
        <w:rPr>
          <w:rFonts w:hint="default" w:ascii="Times New Roman" w:hAnsi="Times New Roman" w:eastAsia="宋体" w:cs="Times New Roman"/>
          <w:color w:val="auto"/>
          <w:sz w:val="24"/>
          <w:szCs w:val="28"/>
          <w:highlight w:val="none"/>
          <w:lang w:val="en-US" w:eastAsia="zh-CN" w:bidi="ar"/>
        </w:rPr>
        <w:t>烘干废气经1套“旋风除尘+重力沉降室”</w:t>
      </w:r>
      <w:r>
        <w:rPr>
          <w:rFonts w:hint="eastAsia" w:ascii="Times New Roman" w:hAnsi="Times New Roman" w:eastAsia="宋体" w:cs="Times New Roman"/>
          <w:color w:val="auto"/>
          <w:sz w:val="24"/>
          <w:szCs w:val="28"/>
          <w:highlight w:val="none"/>
          <w:lang w:val="en-US" w:eastAsia="zh-CN" w:bidi="ar"/>
        </w:rPr>
        <w:t>预</w:t>
      </w:r>
      <w:r>
        <w:rPr>
          <w:rFonts w:hint="default" w:ascii="Times New Roman" w:hAnsi="Times New Roman" w:eastAsia="宋体" w:cs="Times New Roman"/>
          <w:color w:val="auto"/>
          <w:sz w:val="24"/>
          <w:szCs w:val="28"/>
          <w:highlight w:val="none"/>
          <w:lang w:val="en-US" w:eastAsia="zh-CN" w:bidi="ar"/>
        </w:rPr>
        <w:t>处理，</w:t>
      </w:r>
      <w:r>
        <w:rPr>
          <w:rFonts w:hint="eastAsia" w:ascii="Times New Roman" w:hAnsi="Times New Roman" w:eastAsia="宋体" w:cs="Times New Roman"/>
          <w:color w:val="auto"/>
          <w:sz w:val="24"/>
          <w:szCs w:val="28"/>
          <w:highlight w:val="none"/>
          <w:lang w:val="en-US" w:eastAsia="zh-CN" w:bidi="ar"/>
        </w:rPr>
        <w:t>冷却、筛分、包膜废气</w:t>
      </w:r>
      <w:r>
        <w:rPr>
          <w:rFonts w:hint="default" w:ascii="Times New Roman" w:hAnsi="Times New Roman" w:eastAsia="宋体" w:cs="Times New Roman"/>
          <w:color w:val="auto"/>
          <w:sz w:val="24"/>
          <w:szCs w:val="28"/>
          <w:highlight w:val="none"/>
          <w:lang w:val="en-US" w:eastAsia="zh-CN" w:bidi="ar"/>
        </w:rPr>
        <w:t>经1套“旋风除尘+重力沉降室”</w:t>
      </w:r>
      <w:r>
        <w:rPr>
          <w:rFonts w:hint="eastAsia" w:ascii="Times New Roman" w:hAnsi="Times New Roman" w:eastAsia="宋体" w:cs="Times New Roman"/>
          <w:color w:val="auto"/>
          <w:sz w:val="24"/>
          <w:szCs w:val="28"/>
          <w:highlight w:val="none"/>
          <w:lang w:val="en-US" w:eastAsia="zh-CN" w:bidi="ar"/>
        </w:rPr>
        <w:t>预</w:t>
      </w:r>
      <w:r>
        <w:rPr>
          <w:rFonts w:hint="default" w:ascii="Times New Roman" w:hAnsi="Times New Roman" w:eastAsia="宋体" w:cs="Times New Roman"/>
          <w:color w:val="auto"/>
          <w:sz w:val="24"/>
          <w:szCs w:val="28"/>
          <w:highlight w:val="none"/>
          <w:lang w:val="en-US" w:eastAsia="zh-CN" w:bidi="ar"/>
        </w:rPr>
        <w:t>处理</w:t>
      </w:r>
      <w:r>
        <w:rPr>
          <w:rFonts w:hint="eastAsia" w:ascii="Times New Roman" w:hAnsi="Times New Roman" w:eastAsia="宋体" w:cs="Times New Roman"/>
          <w:color w:val="auto"/>
          <w:sz w:val="24"/>
          <w:szCs w:val="28"/>
          <w:highlight w:val="none"/>
          <w:lang w:val="en-US" w:eastAsia="zh-CN" w:bidi="ar"/>
        </w:rPr>
        <w:t>，废气经预处理后其他废气一起经水洗塔处理后通过25m排气筒排放</w:t>
      </w:r>
      <w:r>
        <w:rPr>
          <w:rFonts w:hint="default" w:ascii="Times New Roman" w:hAnsi="Times New Roman" w:eastAsia="宋体" w:cs="Times New Roman"/>
          <w:color w:val="auto"/>
          <w:sz w:val="24"/>
          <w:szCs w:val="28"/>
          <w:highlight w:val="none"/>
          <w:lang w:val="en-US" w:eastAsia="zh-CN" w:bidi="ar"/>
        </w:rPr>
        <w:t>，</w:t>
      </w:r>
      <w:r>
        <w:rPr>
          <w:rFonts w:hint="eastAsia" w:ascii="Times New Roman" w:hAnsi="Times New Roman" w:eastAsia="宋体" w:cs="Times New Roman"/>
          <w:color w:val="auto"/>
          <w:sz w:val="24"/>
          <w:szCs w:val="28"/>
          <w:highlight w:val="none"/>
          <w:lang w:val="en-US" w:eastAsia="zh-CN" w:bidi="ar"/>
        </w:rPr>
        <w:t>废气处理效率为99.8%，则</w:t>
      </w:r>
      <w:r>
        <w:rPr>
          <w:rFonts w:hint="eastAsia" w:ascii="Times New Roman" w:hAnsi="Times New Roman" w:cs="Times New Roman"/>
          <w:color w:val="auto"/>
          <w:sz w:val="24"/>
          <w:szCs w:val="28"/>
          <w:highlight w:val="none"/>
          <w:lang w:val="en-US" w:eastAsia="zh-CN" w:bidi="ar"/>
        </w:rPr>
        <w:t>烘干、冷却、筛分、包膜废气颗粒物有组织排放量为0.9595t/a。</w:t>
      </w:r>
    </w:p>
    <w:p w14:paraId="6C5AB2D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8"/>
          <w:highlight w:val="none"/>
          <w:lang w:val="en-US" w:eastAsia="zh-CN" w:bidi="ar"/>
        </w:rPr>
      </w:pPr>
      <w:r>
        <w:rPr>
          <w:rFonts w:hint="eastAsia" w:ascii="Times New Roman" w:hAnsi="Times New Roman" w:eastAsia="宋体" w:cs="Times New Roman"/>
          <w:color w:val="auto"/>
          <w:sz w:val="24"/>
          <w:szCs w:val="28"/>
          <w:highlight w:val="none"/>
          <w:lang w:val="en-US" w:eastAsia="zh-CN" w:bidi="ar"/>
        </w:rPr>
        <w:t>⑤包装</w:t>
      </w:r>
    </w:p>
    <w:p w14:paraId="2E94D44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8"/>
          <w:highlight w:val="none"/>
          <w:lang w:val="en-US" w:eastAsia="zh-CN" w:bidi="ar"/>
        </w:rPr>
      </w:pPr>
      <w:r>
        <w:rPr>
          <w:rFonts w:hint="eastAsia" w:ascii="Times New Roman" w:hAnsi="Times New Roman" w:eastAsia="宋体" w:cs="Times New Roman"/>
          <w:color w:val="auto"/>
          <w:sz w:val="24"/>
          <w:szCs w:val="28"/>
          <w:highlight w:val="none"/>
          <w:lang w:val="en-US" w:eastAsia="zh-CN" w:bidi="ar"/>
        </w:rPr>
        <w:t>挤压造粒生产线颗粒物约2.5%的废气在</w:t>
      </w:r>
      <w:r>
        <w:rPr>
          <w:rFonts w:hint="eastAsia" w:ascii="Times New Roman" w:hAnsi="Times New Roman" w:cs="Times New Roman"/>
          <w:color w:val="auto"/>
          <w:sz w:val="24"/>
          <w:szCs w:val="28"/>
          <w:highlight w:val="none"/>
          <w:lang w:val="en-US" w:eastAsia="zh-CN" w:bidi="ar"/>
        </w:rPr>
        <w:t>包装</w:t>
      </w:r>
      <w:r>
        <w:rPr>
          <w:rFonts w:hint="eastAsia" w:ascii="Times New Roman" w:hAnsi="Times New Roman" w:eastAsia="宋体" w:cs="Times New Roman"/>
          <w:color w:val="auto"/>
          <w:sz w:val="24"/>
          <w:szCs w:val="28"/>
          <w:highlight w:val="none"/>
          <w:lang w:val="en-US" w:eastAsia="zh-CN" w:bidi="ar"/>
        </w:rPr>
        <w:t>工序产生，则包装工序颗粒物产生量为25.25t/a，包装设备全密闭，包装过程有废气在包装设备出口逸出，在包装工序上方设置集气罩收集废气，废气收集效率不低于98%，包装废气与冷却、筛分、包膜废气一起</w:t>
      </w:r>
      <w:r>
        <w:rPr>
          <w:rFonts w:hint="default" w:ascii="Times New Roman" w:hAnsi="Times New Roman" w:eastAsia="宋体" w:cs="Times New Roman"/>
          <w:color w:val="auto"/>
          <w:sz w:val="24"/>
          <w:szCs w:val="28"/>
          <w:highlight w:val="none"/>
          <w:lang w:val="en-US" w:eastAsia="zh-CN" w:bidi="ar"/>
        </w:rPr>
        <w:t>经1套“旋风除尘+重力沉降室”</w:t>
      </w:r>
      <w:r>
        <w:rPr>
          <w:rFonts w:hint="eastAsia" w:ascii="Times New Roman" w:hAnsi="Times New Roman" w:eastAsia="宋体" w:cs="Times New Roman"/>
          <w:color w:val="auto"/>
          <w:sz w:val="24"/>
          <w:szCs w:val="28"/>
          <w:highlight w:val="none"/>
          <w:lang w:val="en-US" w:eastAsia="zh-CN" w:bidi="ar"/>
        </w:rPr>
        <w:t>预</w:t>
      </w:r>
      <w:r>
        <w:rPr>
          <w:rFonts w:hint="default" w:ascii="Times New Roman" w:hAnsi="Times New Roman" w:eastAsia="宋体" w:cs="Times New Roman"/>
          <w:color w:val="auto"/>
          <w:sz w:val="24"/>
          <w:szCs w:val="28"/>
          <w:highlight w:val="none"/>
          <w:lang w:val="en-US" w:eastAsia="zh-CN" w:bidi="ar"/>
        </w:rPr>
        <w:t>处理</w:t>
      </w:r>
      <w:r>
        <w:rPr>
          <w:rFonts w:hint="eastAsia" w:ascii="Times New Roman" w:hAnsi="Times New Roman" w:eastAsia="宋体" w:cs="Times New Roman"/>
          <w:color w:val="auto"/>
          <w:sz w:val="24"/>
          <w:szCs w:val="28"/>
          <w:highlight w:val="none"/>
          <w:lang w:val="en-US" w:eastAsia="zh-CN" w:bidi="ar"/>
        </w:rPr>
        <w:t>，废气经预处理后其他废气一起经水洗塔处理后通过25m排气筒排放</w:t>
      </w:r>
      <w:r>
        <w:rPr>
          <w:rFonts w:hint="default" w:ascii="Times New Roman" w:hAnsi="Times New Roman" w:eastAsia="宋体" w:cs="Times New Roman"/>
          <w:color w:val="auto"/>
          <w:sz w:val="24"/>
          <w:szCs w:val="28"/>
          <w:highlight w:val="none"/>
          <w:lang w:val="en-US" w:eastAsia="zh-CN" w:bidi="ar"/>
        </w:rPr>
        <w:t>，</w:t>
      </w:r>
      <w:r>
        <w:rPr>
          <w:rFonts w:hint="eastAsia" w:ascii="Times New Roman" w:hAnsi="Times New Roman" w:eastAsia="宋体" w:cs="Times New Roman"/>
          <w:color w:val="auto"/>
          <w:sz w:val="24"/>
          <w:szCs w:val="28"/>
          <w:highlight w:val="none"/>
          <w:lang w:val="en-US" w:eastAsia="zh-CN" w:bidi="ar"/>
        </w:rPr>
        <w:t>废气处理效率为99.8%，则</w:t>
      </w:r>
      <w:r>
        <w:rPr>
          <w:rFonts w:hint="eastAsia" w:ascii="Times New Roman" w:hAnsi="Times New Roman" w:cs="Times New Roman"/>
          <w:color w:val="auto"/>
          <w:sz w:val="24"/>
          <w:szCs w:val="28"/>
          <w:highlight w:val="none"/>
          <w:lang w:val="en-US" w:eastAsia="zh-CN" w:bidi="ar"/>
        </w:rPr>
        <w:t>包装废气颗粒物有组织产生量为24.745t/a，排放量为0.0495t/a，无组织排放量为0.505t/a。</w:t>
      </w:r>
    </w:p>
    <w:p w14:paraId="355A53B0">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8"/>
          <w:highlight w:val="none"/>
          <w:lang w:val="en-US" w:eastAsia="zh-CN" w:bidi="ar"/>
        </w:rPr>
      </w:pPr>
      <w:r>
        <w:rPr>
          <w:rFonts w:hint="eastAsia" w:ascii="Times New Roman" w:hAnsi="Times New Roman" w:eastAsia="宋体" w:cs="Times New Roman"/>
          <w:color w:val="auto"/>
          <w:sz w:val="24"/>
          <w:szCs w:val="28"/>
          <w:highlight w:val="none"/>
          <w:lang w:val="en-US" w:eastAsia="zh-CN" w:bidi="ar"/>
        </w:rPr>
        <w:t>挤压造粒生产线颗粒物有组织排放量为1.211t/a，无组织排放量为0.7575t/a。</w:t>
      </w:r>
    </w:p>
    <w:p w14:paraId="2D5466E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8"/>
          <w:highlight w:val="none"/>
          <w:lang w:val="en-US" w:eastAsia="zh-CN" w:bidi="ar"/>
        </w:rPr>
      </w:pPr>
      <w:r>
        <w:rPr>
          <w:rFonts w:hint="default" w:ascii="Times New Roman" w:hAnsi="Times New Roman" w:eastAsia="宋体" w:cs="Times New Roman"/>
          <w:color w:val="auto"/>
          <w:sz w:val="24"/>
          <w:szCs w:val="28"/>
          <w:highlight w:val="none"/>
          <w:lang w:val="en-US" w:eastAsia="zh-CN" w:bidi="ar"/>
        </w:rPr>
        <w:t>2）恶臭气体</w:t>
      </w:r>
    </w:p>
    <w:p w14:paraId="25B03B0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8"/>
          <w:highlight w:val="none"/>
          <w:lang w:val="en-US" w:eastAsia="zh-CN" w:bidi="ar"/>
        </w:rPr>
      </w:pPr>
      <w:r>
        <w:rPr>
          <w:rFonts w:hint="default" w:ascii="Times New Roman" w:hAnsi="Times New Roman" w:eastAsia="宋体" w:cs="Times New Roman"/>
          <w:color w:val="auto"/>
          <w:sz w:val="24"/>
          <w:szCs w:val="28"/>
          <w:highlight w:val="none"/>
          <w:lang w:val="en-US" w:eastAsia="zh-CN" w:bidi="ar"/>
        </w:rPr>
        <w:t>氨</w:t>
      </w:r>
      <w:r>
        <w:rPr>
          <w:rFonts w:hint="eastAsia" w:ascii="Times New Roman" w:hAnsi="Times New Roman" w:eastAsia="宋体" w:cs="Times New Roman"/>
          <w:color w:val="auto"/>
          <w:sz w:val="24"/>
          <w:szCs w:val="28"/>
          <w:highlight w:val="none"/>
          <w:lang w:val="en-US" w:eastAsia="zh-CN" w:bidi="ar"/>
        </w:rPr>
        <w:t>：</w:t>
      </w:r>
    </w:p>
    <w:p w14:paraId="26088450">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8"/>
          <w:highlight w:val="none"/>
          <w:lang w:val="en-US" w:eastAsia="zh-CN" w:bidi="ar"/>
        </w:rPr>
      </w:pPr>
      <w:r>
        <w:rPr>
          <w:rFonts w:hint="default" w:ascii="Times New Roman" w:hAnsi="Times New Roman" w:cs="Times New Roman"/>
          <w:color w:val="auto"/>
          <w:sz w:val="24"/>
          <w:szCs w:val="28"/>
          <w:highlight w:val="none"/>
          <w:lang w:val="en-US" w:eastAsia="zh-CN" w:bidi="ar"/>
        </w:rPr>
        <w:t>根据企业现有项目类比分析，企业现有项目含游离氨原料（尿素、磷酸一铵、硫酸铵、氯化铵）使用量共计21.2145万t/a，游离氨产生量约为1.14t/a，本项目挤压造粒生产线使用的原料（尿素、磷酸一铵和硫酸铵）共计66000t/a，则游离氨产生量为0.355t/a。</w:t>
      </w:r>
    </w:p>
    <w:p w14:paraId="7507268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8"/>
          <w:highlight w:val="none"/>
          <w:lang w:val="en-US" w:eastAsia="zh-CN" w:bidi="ar"/>
        </w:rPr>
      </w:pPr>
      <w:r>
        <w:rPr>
          <w:rFonts w:hint="default" w:ascii="Times New Roman" w:hAnsi="Times New Roman" w:eastAsia="宋体" w:cs="Times New Roman"/>
          <w:color w:val="auto"/>
          <w:sz w:val="24"/>
          <w:szCs w:val="28"/>
          <w:highlight w:val="none"/>
          <w:lang w:val="en-US" w:eastAsia="zh-CN" w:bidi="ar"/>
        </w:rPr>
        <w:t>①</w:t>
      </w:r>
      <w:r>
        <w:rPr>
          <w:rFonts w:hint="eastAsia" w:ascii="Times New Roman" w:hAnsi="Times New Roman" w:eastAsia="宋体" w:cs="Times New Roman"/>
          <w:color w:val="auto"/>
          <w:sz w:val="24"/>
          <w:szCs w:val="28"/>
          <w:highlight w:val="none"/>
          <w:lang w:val="en-US" w:eastAsia="zh-CN" w:bidi="ar"/>
        </w:rPr>
        <w:t>投料</w:t>
      </w:r>
    </w:p>
    <w:p w14:paraId="12F6268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cs="Times New Roman"/>
          <w:sz w:val="24"/>
          <w:szCs w:val="32"/>
          <w:lang w:val="en-US" w:eastAsia="zh-CN"/>
        </w:rPr>
      </w:pPr>
      <w:r>
        <w:rPr>
          <w:rFonts w:hint="eastAsia" w:ascii="Times New Roman" w:hAnsi="Times New Roman" w:eastAsia="宋体" w:cs="Times New Roman"/>
          <w:color w:val="auto"/>
          <w:sz w:val="24"/>
          <w:szCs w:val="28"/>
          <w:highlight w:val="none"/>
          <w:lang w:val="en-US" w:eastAsia="zh-CN" w:bidi="ar"/>
        </w:rPr>
        <w:t>挤压造粒生产线</w:t>
      </w:r>
      <w:r>
        <w:rPr>
          <w:rFonts w:hint="default" w:ascii="Times New Roman" w:hAnsi="Times New Roman" w:cs="Times New Roman"/>
          <w:color w:val="auto"/>
          <w:sz w:val="24"/>
          <w:szCs w:val="28"/>
          <w:highlight w:val="none"/>
          <w:lang w:val="en-US" w:eastAsia="zh-CN" w:bidi="ar"/>
        </w:rPr>
        <w:t>游离氨</w:t>
      </w:r>
      <w:r>
        <w:rPr>
          <w:rFonts w:hint="eastAsia" w:ascii="Times New Roman" w:hAnsi="Times New Roman" w:eastAsia="宋体" w:cs="Times New Roman"/>
          <w:color w:val="auto"/>
          <w:sz w:val="24"/>
          <w:szCs w:val="28"/>
          <w:highlight w:val="none"/>
          <w:lang w:val="en-US" w:eastAsia="zh-CN" w:bidi="ar"/>
        </w:rPr>
        <w:t>约2.5%的废气在投料工序产生，则投料工序</w:t>
      </w:r>
      <w:r>
        <w:rPr>
          <w:rFonts w:hint="default" w:ascii="Times New Roman" w:hAnsi="Times New Roman" w:cs="Times New Roman"/>
          <w:color w:val="auto"/>
          <w:sz w:val="24"/>
          <w:szCs w:val="28"/>
          <w:highlight w:val="none"/>
          <w:lang w:val="en-US" w:eastAsia="zh-CN" w:bidi="ar"/>
        </w:rPr>
        <w:t>游离氨</w:t>
      </w:r>
      <w:r>
        <w:rPr>
          <w:rFonts w:hint="eastAsia" w:ascii="Times New Roman" w:hAnsi="Times New Roman" w:eastAsia="宋体" w:cs="Times New Roman"/>
          <w:color w:val="auto"/>
          <w:sz w:val="24"/>
          <w:szCs w:val="28"/>
          <w:highlight w:val="none"/>
          <w:lang w:val="en-US" w:eastAsia="zh-CN" w:bidi="ar"/>
        </w:rPr>
        <w:t>产生量为0.0089t/a。挤压造粒生产线原料</w:t>
      </w:r>
      <w:r>
        <w:rPr>
          <w:rFonts w:hint="eastAsia" w:ascii="Times New Roman" w:hAnsi="Times New Roman" w:cs="Times New Roman"/>
          <w:sz w:val="24"/>
          <w:szCs w:val="32"/>
          <w:lang w:val="en-US" w:eastAsia="zh-CN"/>
        </w:rPr>
        <w:t>采用叉车整包倒置投入投料漏斗中，包装袋与投料口密合，袋口倒置，在漏斗内拆包，废气逸出量较少，约为产生量的1%，其余废气与物料一起作为原料进入下一工序，则投料过程游离氨无组织排放量为0.0001t/a。</w:t>
      </w:r>
    </w:p>
    <w:p w14:paraId="1159618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8"/>
          <w:highlight w:val="none"/>
          <w:lang w:val="en-US" w:eastAsia="zh-CN" w:bidi="ar"/>
        </w:rPr>
      </w:pPr>
      <w:r>
        <w:rPr>
          <w:rFonts w:hint="default" w:ascii="Times New Roman" w:hAnsi="Times New Roman" w:eastAsia="宋体" w:cs="Times New Roman"/>
          <w:color w:val="auto"/>
          <w:sz w:val="24"/>
          <w:szCs w:val="28"/>
          <w:highlight w:val="none"/>
          <w:lang w:val="en-US" w:eastAsia="zh-CN" w:bidi="ar"/>
        </w:rPr>
        <w:t>②</w:t>
      </w:r>
      <w:r>
        <w:rPr>
          <w:rFonts w:hint="eastAsia" w:ascii="Times New Roman" w:hAnsi="Times New Roman" w:eastAsia="宋体" w:cs="Times New Roman"/>
          <w:color w:val="auto"/>
          <w:sz w:val="24"/>
          <w:szCs w:val="28"/>
          <w:highlight w:val="none"/>
          <w:lang w:val="en-US" w:eastAsia="zh-CN" w:bidi="ar"/>
        </w:rPr>
        <w:t>破碎、搅拌</w:t>
      </w:r>
    </w:p>
    <w:p w14:paraId="11C259A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8"/>
          <w:highlight w:val="none"/>
          <w:lang w:val="en-US" w:eastAsia="zh-CN" w:bidi="ar"/>
        </w:rPr>
      </w:pPr>
      <w:r>
        <w:rPr>
          <w:rFonts w:hint="eastAsia" w:ascii="Times New Roman" w:hAnsi="Times New Roman" w:eastAsia="宋体" w:cs="Times New Roman"/>
          <w:color w:val="auto"/>
          <w:sz w:val="24"/>
          <w:szCs w:val="28"/>
          <w:highlight w:val="none"/>
          <w:lang w:val="en-US" w:eastAsia="zh-CN" w:bidi="ar"/>
        </w:rPr>
        <w:t>挤压造粒生产线游离氨约37.5%的废气在破碎、搅拌工序产生，破碎、搅拌设备均为密闭连通设备，搅拌废气随物料一起进入挤压造粒系统，作为挤压造粒工艺原料，无废气排放</w:t>
      </w:r>
      <w:r>
        <w:rPr>
          <w:rFonts w:hint="eastAsia" w:ascii="Times New Roman" w:hAnsi="Times New Roman" w:cs="Times New Roman"/>
          <w:sz w:val="24"/>
          <w:szCs w:val="32"/>
          <w:lang w:val="en-US" w:eastAsia="zh-CN"/>
        </w:rPr>
        <w:t>。</w:t>
      </w:r>
    </w:p>
    <w:p w14:paraId="4477EB5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8"/>
          <w:highlight w:val="none"/>
          <w:lang w:val="en-US" w:eastAsia="zh-CN" w:bidi="ar"/>
        </w:rPr>
      </w:pPr>
      <w:r>
        <w:rPr>
          <w:rFonts w:hint="default" w:ascii="Times New Roman" w:hAnsi="Times New Roman" w:eastAsia="宋体" w:cs="Times New Roman"/>
          <w:color w:val="auto"/>
          <w:sz w:val="24"/>
          <w:szCs w:val="28"/>
          <w:highlight w:val="none"/>
          <w:lang w:val="en-US" w:eastAsia="zh-CN" w:bidi="ar"/>
        </w:rPr>
        <w:t>③</w:t>
      </w:r>
      <w:r>
        <w:rPr>
          <w:rFonts w:hint="eastAsia" w:ascii="Times New Roman" w:hAnsi="Times New Roman" w:eastAsia="宋体" w:cs="Times New Roman"/>
          <w:color w:val="auto"/>
          <w:sz w:val="24"/>
          <w:szCs w:val="28"/>
          <w:highlight w:val="none"/>
          <w:lang w:val="en-US" w:eastAsia="zh-CN" w:bidi="ar"/>
        </w:rPr>
        <w:t>挤压造粒</w:t>
      </w:r>
    </w:p>
    <w:p w14:paraId="201E75F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8"/>
          <w:highlight w:val="none"/>
          <w:lang w:val="en-US" w:eastAsia="zh-CN" w:bidi="ar"/>
        </w:rPr>
      </w:pPr>
      <w:r>
        <w:rPr>
          <w:rFonts w:hint="eastAsia" w:ascii="Times New Roman" w:hAnsi="Times New Roman" w:eastAsia="宋体" w:cs="Times New Roman"/>
          <w:color w:val="auto"/>
          <w:sz w:val="24"/>
          <w:szCs w:val="28"/>
          <w:highlight w:val="none"/>
          <w:lang w:val="en-US" w:eastAsia="zh-CN" w:bidi="ar"/>
        </w:rPr>
        <w:t>挤压造粒生产线游离氨约10%的废气在</w:t>
      </w:r>
      <w:r>
        <w:rPr>
          <w:rFonts w:hint="eastAsia" w:ascii="Times New Roman" w:hAnsi="Times New Roman" w:cs="Times New Roman"/>
          <w:color w:val="auto"/>
          <w:sz w:val="24"/>
          <w:szCs w:val="28"/>
          <w:highlight w:val="none"/>
          <w:lang w:val="en-US" w:eastAsia="zh-CN" w:bidi="ar"/>
        </w:rPr>
        <w:t>挤压造粒</w:t>
      </w:r>
      <w:r>
        <w:rPr>
          <w:rFonts w:hint="eastAsia" w:ascii="Times New Roman" w:hAnsi="Times New Roman" w:eastAsia="宋体" w:cs="Times New Roman"/>
          <w:color w:val="auto"/>
          <w:sz w:val="24"/>
          <w:szCs w:val="28"/>
          <w:highlight w:val="none"/>
          <w:lang w:val="en-US" w:eastAsia="zh-CN" w:bidi="ar"/>
        </w:rPr>
        <w:t>工序产生，则</w:t>
      </w:r>
      <w:r>
        <w:rPr>
          <w:rFonts w:hint="eastAsia" w:ascii="Times New Roman" w:hAnsi="Times New Roman" w:cs="Times New Roman"/>
          <w:color w:val="auto"/>
          <w:sz w:val="24"/>
          <w:szCs w:val="28"/>
          <w:highlight w:val="none"/>
          <w:lang w:val="en-US" w:eastAsia="zh-CN" w:bidi="ar"/>
        </w:rPr>
        <w:t>挤压造粒工序游离氨产生量为0.0355t/a，挤压造粒设备全密闭，</w:t>
      </w:r>
      <w:r>
        <w:rPr>
          <w:rFonts w:hint="eastAsia" w:ascii="Times New Roman" w:hAnsi="Times New Roman" w:eastAsia="宋体" w:cs="Times New Roman"/>
          <w:color w:val="auto"/>
          <w:sz w:val="24"/>
          <w:szCs w:val="28"/>
          <w:highlight w:val="none"/>
          <w:lang w:val="en-US" w:eastAsia="zh-CN" w:bidi="ar"/>
        </w:rPr>
        <w:t>挤压造粒</w:t>
      </w:r>
      <w:r>
        <w:rPr>
          <w:rFonts w:hint="default" w:ascii="Times New Roman" w:hAnsi="Times New Roman" w:eastAsia="宋体" w:cs="Times New Roman"/>
          <w:color w:val="auto"/>
          <w:sz w:val="24"/>
          <w:szCs w:val="28"/>
          <w:highlight w:val="none"/>
          <w:lang w:val="en-US" w:eastAsia="zh-CN" w:bidi="ar"/>
        </w:rPr>
        <w:t>废气经1套“</w:t>
      </w:r>
      <w:r>
        <w:rPr>
          <w:rFonts w:hint="eastAsia" w:ascii="Times New Roman" w:hAnsi="Times New Roman" w:eastAsia="宋体" w:cs="Times New Roman"/>
          <w:color w:val="auto"/>
          <w:sz w:val="24"/>
          <w:szCs w:val="28"/>
          <w:highlight w:val="none"/>
          <w:lang w:val="en-US" w:eastAsia="zh-CN" w:bidi="ar"/>
        </w:rPr>
        <w:t>脉冲袋式除尘器</w:t>
      </w:r>
      <w:r>
        <w:rPr>
          <w:rFonts w:hint="default" w:ascii="Times New Roman" w:hAnsi="Times New Roman" w:eastAsia="宋体" w:cs="Times New Roman"/>
          <w:color w:val="auto"/>
          <w:sz w:val="24"/>
          <w:szCs w:val="28"/>
          <w:highlight w:val="none"/>
          <w:lang w:val="en-US" w:eastAsia="zh-CN" w:bidi="ar"/>
        </w:rPr>
        <w:t>+重力沉降室”</w:t>
      </w:r>
      <w:r>
        <w:rPr>
          <w:rFonts w:hint="eastAsia" w:ascii="Times New Roman" w:hAnsi="Times New Roman" w:eastAsia="宋体" w:cs="Times New Roman"/>
          <w:color w:val="auto"/>
          <w:sz w:val="24"/>
          <w:szCs w:val="28"/>
          <w:highlight w:val="none"/>
          <w:lang w:val="en-US" w:eastAsia="zh-CN" w:bidi="ar"/>
        </w:rPr>
        <w:t>预</w:t>
      </w:r>
      <w:r>
        <w:rPr>
          <w:rFonts w:hint="default" w:ascii="Times New Roman" w:hAnsi="Times New Roman" w:eastAsia="宋体" w:cs="Times New Roman"/>
          <w:color w:val="auto"/>
          <w:sz w:val="24"/>
          <w:szCs w:val="28"/>
          <w:highlight w:val="none"/>
          <w:lang w:val="en-US" w:eastAsia="zh-CN" w:bidi="ar"/>
        </w:rPr>
        <w:t>处理</w:t>
      </w:r>
      <w:r>
        <w:rPr>
          <w:rFonts w:hint="eastAsia" w:ascii="Times New Roman" w:hAnsi="Times New Roman" w:eastAsia="宋体" w:cs="Times New Roman"/>
          <w:color w:val="auto"/>
          <w:sz w:val="24"/>
          <w:szCs w:val="28"/>
          <w:highlight w:val="none"/>
          <w:lang w:val="en-US" w:eastAsia="zh-CN" w:bidi="ar"/>
        </w:rPr>
        <w:t>后与其他废气一起经水洗塔处理后通过25m排气筒排放</w:t>
      </w:r>
      <w:r>
        <w:rPr>
          <w:rFonts w:hint="default" w:ascii="Times New Roman" w:hAnsi="Times New Roman" w:eastAsia="宋体" w:cs="Times New Roman"/>
          <w:color w:val="auto"/>
          <w:sz w:val="24"/>
          <w:szCs w:val="28"/>
          <w:highlight w:val="none"/>
          <w:lang w:val="en-US" w:eastAsia="zh-CN" w:bidi="ar"/>
        </w:rPr>
        <w:t>，该废气治理措施对氨处理效率较小，以不处理计</w:t>
      </w:r>
      <w:r>
        <w:rPr>
          <w:rFonts w:hint="eastAsia" w:ascii="Times New Roman" w:hAnsi="Times New Roman" w:eastAsia="宋体" w:cs="Times New Roman"/>
          <w:color w:val="auto"/>
          <w:sz w:val="24"/>
          <w:szCs w:val="28"/>
          <w:highlight w:val="none"/>
          <w:lang w:val="en-US" w:eastAsia="zh-CN" w:bidi="ar"/>
        </w:rPr>
        <w:t>，则挤压造粒废气游离氨有组织排放量为0.0355t/a。</w:t>
      </w:r>
    </w:p>
    <w:p w14:paraId="4AC2B52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8"/>
          <w:highlight w:val="none"/>
          <w:lang w:val="en-US" w:eastAsia="zh-CN" w:bidi="ar"/>
        </w:rPr>
      </w:pPr>
      <w:r>
        <w:rPr>
          <w:rFonts w:hint="eastAsia" w:ascii="Times New Roman" w:hAnsi="Times New Roman" w:eastAsia="宋体" w:cs="Times New Roman"/>
          <w:color w:val="auto"/>
          <w:sz w:val="24"/>
          <w:szCs w:val="28"/>
          <w:highlight w:val="none"/>
          <w:lang w:val="en-US" w:eastAsia="zh-CN" w:bidi="ar"/>
        </w:rPr>
        <w:t>④烘干、冷却、筛分、包膜</w:t>
      </w:r>
    </w:p>
    <w:p w14:paraId="474848D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8"/>
          <w:highlight w:val="none"/>
          <w:lang w:val="en-US" w:eastAsia="zh-CN" w:bidi="ar"/>
        </w:rPr>
      </w:pPr>
      <w:r>
        <w:rPr>
          <w:rFonts w:hint="eastAsia" w:ascii="Times New Roman" w:hAnsi="Times New Roman" w:eastAsia="宋体" w:cs="Times New Roman"/>
          <w:color w:val="auto"/>
          <w:sz w:val="24"/>
          <w:szCs w:val="28"/>
          <w:highlight w:val="none"/>
          <w:lang w:val="en-US" w:eastAsia="zh-CN" w:bidi="ar"/>
        </w:rPr>
        <w:t>挤压造粒生产线游离氨约47.5%的废气在</w:t>
      </w:r>
      <w:r>
        <w:rPr>
          <w:rFonts w:hint="eastAsia" w:ascii="Times New Roman" w:hAnsi="Times New Roman" w:cs="Times New Roman"/>
          <w:color w:val="auto"/>
          <w:sz w:val="24"/>
          <w:szCs w:val="28"/>
          <w:highlight w:val="none"/>
          <w:lang w:val="en-US" w:eastAsia="zh-CN" w:bidi="ar"/>
        </w:rPr>
        <w:t>烘干、冷却、筛分、包膜</w:t>
      </w:r>
      <w:r>
        <w:rPr>
          <w:rFonts w:hint="eastAsia" w:ascii="Times New Roman" w:hAnsi="Times New Roman" w:eastAsia="宋体" w:cs="Times New Roman"/>
          <w:color w:val="auto"/>
          <w:sz w:val="24"/>
          <w:szCs w:val="28"/>
          <w:highlight w:val="none"/>
          <w:lang w:val="en-US" w:eastAsia="zh-CN" w:bidi="ar"/>
        </w:rPr>
        <w:t>工序产生，则</w:t>
      </w:r>
      <w:r>
        <w:rPr>
          <w:rFonts w:hint="eastAsia" w:ascii="Times New Roman" w:hAnsi="Times New Roman" w:cs="Times New Roman"/>
          <w:color w:val="auto"/>
          <w:sz w:val="24"/>
          <w:szCs w:val="28"/>
          <w:highlight w:val="none"/>
          <w:lang w:val="en-US" w:eastAsia="zh-CN" w:bidi="ar"/>
        </w:rPr>
        <w:t>烘干、冷却、筛分、包膜工序游离氨产生量为0.1686t/a，烘干、冷却、筛分、包膜设备全密闭，</w:t>
      </w:r>
      <w:r>
        <w:rPr>
          <w:rFonts w:hint="default" w:ascii="Times New Roman" w:hAnsi="Times New Roman" w:eastAsia="宋体" w:cs="Times New Roman"/>
          <w:color w:val="auto"/>
          <w:sz w:val="24"/>
          <w:szCs w:val="28"/>
          <w:highlight w:val="none"/>
          <w:lang w:val="en-US" w:eastAsia="zh-CN" w:bidi="ar"/>
        </w:rPr>
        <w:t>烘干废气经1套“旋风除尘+重力沉降室”</w:t>
      </w:r>
      <w:r>
        <w:rPr>
          <w:rFonts w:hint="eastAsia" w:ascii="Times New Roman" w:hAnsi="Times New Roman" w:eastAsia="宋体" w:cs="Times New Roman"/>
          <w:color w:val="auto"/>
          <w:sz w:val="24"/>
          <w:szCs w:val="28"/>
          <w:highlight w:val="none"/>
          <w:lang w:val="en-US" w:eastAsia="zh-CN" w:bidi="ar"/>
        </w:rPr>
        <w:t>预</w:t>
      </w:r>
      <w:r>
        <w:rPr>
          <w:rFonts w:hint="default" w:ascii="Times New Roman" w:hAnsi="Times New Roman" w:eastAsia="宋体" w:cs="Times New Roman"/>
          <w:color w:val="auto"/>
          <w:sz w:val="24"/>
          <w:szCs w:val="28"/>
          <w:highlight w:val="none"/>
          <w:lang w:val="en-US" w:eastAsia="zh-CN" w:bidi="ar"/>
        </w:rPr>
        <w:t>处理，</w:t>
      </w:r>
      <w:r>
        <w:rPr>
          <w:rFonts w:hint="eastAsia" w:ascii="Times New Roman" w:hAnsi="Times New Roman" w:eastAsia="宋体" w:cs="Times New Roman"/>
          <w:color w:val="auto"/>
          <w:sz w:val="24"/>
          <w:szCs w:val="28"/>
          <w:highlight w:val="none"/>
          <w:lang w:val="en-US" w:eastAsia="zh-CN" w:bidi="ar"/>
        </w:rPr>
        <w:t>冷却、筛分、包膜废气</w:t>
      </w:r>
      <w:r>
        <w:rPr>
          <w:rFonts w:hint="default" w:ascii="Times New Roman" w:hAnsi="Times New Roman" w:eastAsia="宋体" w:cs="Times New Roman"/>
          <w:color w:val="auto"/>
          <w:sz w:val="24"/>
          <w:szCs w:val="28"/>
          <w:highlight w:val="none"/>
          <w:lang w:val="en-US" w:eastAsia="zh-CN" w:bidi="ar"/>
        </w:rPr>
        <w:t>经1套“旋风除尘+重力沉降室”</w:t>
      </w:r>
      <w:r>
        <w:rPr>
          <w:rFonts w:hint="eastAsia" w:ascii="Times New Roman" w:hAnsi="Times New Roman" w:eastAsia="宋体" w:cs="Times New Roman"/>
          <w:color w:val="auto"/>
          <w:sz w:val="24"/>
          <w:szCs w:val="28"/>
          <w:highlight w:val="none"/>
          <w:lang w:val="en-US" w:eastAsia="zh-CN" w:bidi="ar"/>
        </w:rPr>
        <w:t>预</w:t>
      </w:r>
      <w:r>
        <w:rPr>
          <w:rFonts w:hint="default" w:ascii="Times New Roman" w:hAnsi="Times New Roman" w:eastAsia="宋体" w:cs="Times New Roman"/>
          <w:color w:val="auto"/>
          <w:sz w:val="24"/>
          <w:szCs w:val="28"/>
          <w:highlight w:val="none"/>
          <w:lang w:val="en-US" w:eastAsia="zh-CN" w:bidi="ar"/>
        </w:rPr>
        <w:t>处理</w:t>
      </w:r>
      <w:r>
        <w:rPr>
          <w:rFonts w:hint="eastAsia" w:ascii="Times New Roman" w:hAnsi="Times New Roman" w:eastAsia="宋体" w:cs="Times New Roman"/>
          <w:color w:val="auto"/>
          <w:sz w:val="24"/>
          <w:szCs w:val="28"/>
          <w:highlight w:val="none"/>
          <w:lang w:val="en-US" w:eastAsia="zh-CN" w:bidi="ar"/>
        </w:rPr>
        <w:t>，废气经预处理后其他废气一起经水洗塔处理后通过25m排气筒排放</w:t>
      </w:r>
      <w:r>
        <w:rPr>
          <w:rFonts w:hint="default" w:ascii="Times New Roman" w:hAnsi="Times New Roman" w:eastAsia="宋体" w:cs="Times New Roman"/>
          <w:color w:val="auto"/>
          <w:sz w:val="24"/>
          <w:szCs w:val="28"/>
          <w:highlight w:val="none"/>
          <w:lang w:val="en-US" w:eastAsia="zh-CN" w:bidi="ar"/>
        </w:rPr>
        <w:t>，该废气治理措施对氨处理效率较小，以不处理计</w:t>
      </w:r>
      <w:r>
        <w:rPr>
          <w:rFonts w:hint="eastAsia" w:ascii="Times New Roman" w:hAnsi="Times New Roman" w:eastAsia="宋体" w:cs="Times New Roman"/>
          <w:color w:val="auto"/>
          <w:sz w:val="24"/>
          <w:szCs w:val="28"/>
          <w:highlight w:val="none"/>
          <w:lang w:val="en-US" w:eastAsia="zh-CN" w:bidi="ar"/>
        </w:rPr>
        <w:t>，则</w:t>
      </w:r>
      <w:r>
        <w:rPr>
          <w:rFonts w:hint="eastAsia" w:ascii="Times New Roman" w:hAnsi="Times New Roman" w:cs="Times New Roman"/>
          <w:color w:val="auto"/>
          <w:sz w:val="24"/>
          <w:szCs w:val="28"/>
          <w:highlight w:val="none"/>
          <w:lang w:val="en-US" w:eastAsia="zh-CN" w:bidi="ar"/>
        </w:rPr>
        <w:t>烘干、冷却、筛分、包膜废气游离氨有组织排放量为0.1686t/a。</w:t>
      </w:r>
    </w:p>
    <w:p w14:paraId="0266758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8"/>
          <w:highlight w:val="none"/>
          <w:lang w:val="en-US" w:eastAsia="zh-CN" w:bidi="ar"/>
        </w:rPr>
      </w:pPr>
      <w:r>
        <w:rPr>
          <w:rFonts w:hint="eastAsia" w:ascii="Times New Roman" w:hAnsi="Times New Roman" w:eastAsia="宋体" w:cs="Times New Roman"/>
          <w:color w:val="auto"/>
          <w:sz w:val="24"/>
          <w:szCs w:val="28"/>
          <w:highlight w:val="none"/>
          <w:lang w:val="en-US" w:eastAsia="zh-CN" w:bidi="ar"/>
        </w:rPr>
        <w:t>⑤包装</w:t>
      </w:r>
    </w:p>
    <w:p w14:paraId="4411E93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8"/>
          <w:highlight w:val="none"/>
          <w:lang w:val="en-US" w:eastAsia="zh-CN" w:bidi="ar"/>
        </w:rPr>
      </w:pPr>
      <w:r>
        <w:rPr>
          <w:rFonts w:hint="eastAsia" w:ascii="Times New Roman" w:hAnsi="Times New Roman" w:eastAsia="宋体" w:cs="Times New Roman"/>
          <w:color w:val="auto"/>
          <w:sz w:val="24"/>
          <w:szCs w:val="28"/>
          <w:highlight w:val="none"/>
          <w:lang w:val="en-US" w:eastAsia="zh-CN" w:bidi="ar"/>
        </w:rPr>
        <w:t>挤压造粒生产线游离氨约2.5%的废气在</w:t>
      </w:r>
      <w:r>
        <w:rPr>
          <w:rFonts w:hint="eastAsia" w:ascii="Times New Roman" w:hAnsi="Times New Roman" w:cs="Times New Roman"/>
          <w:color w:val="auto"/>
          <w:sz w:val="24"/>
          <w:szCs w:val="28"/>
          <w:highlight w:val="none"/>
          <w:lang w:val="en-US" w:eastAsia="zh-CN" w:bidi="ar"/>
        </w:rPr>
        <w:t>包装</w:t>
      </w:r>
      <w:r>
        <w:rPr>
          <w:rFonts w:hint="eastAsia" w:ascii="Times New Roman" w:hAnsi="Times New Roman" w:eastAsia="宋体" w:cs="Times New Roman"/>
          <w:color w:val="auto"/>
          <w:sz w:val="24"/>
          <w:szCs w:val="28"/>
          <w:highlight w:val="none"/>
          <w:lang w:val="en-US" w:eastAsia="zh-CN" w:bidi="ar"/>
        </w:rPr>
        <w:t>工序产生，则包装工序游离氨产生量为0.0089t/a，包装设备全密闭，包装过程有废气在包装设备出口逸出，在包装工序上方设置集气罩收集废气，废气收集效率不低于98%，包装废气与冷却、筛分、包膜废气一起</w:t>
      </w:r>
      <w:r>
        <w:rPr>
          <w:rFonts w:hint="default" w:ascii="Times New Roman" w:hAnsi="Times New Roman" w:eastAsia="宋体" w:cs="Times New Roman"/>
          <w:color w:val="auto"/>
          <w:sz w:val="24"/>
          <w:szCs w:val="28"/>
          <w:highlight w:val="none"/>
          <w:lang w:val="en-US" w:eastAsia="zh-CN" w:bidi="ar"/>
        </w:rPr>
        <w:t>经1套“旋风除尘+重力沉降室”</w:t>
      </w:r>
      <w:r>
        <w:rPr>
          <w:rFonts w:hint="eastAsia" w:ascii="Times New Roman" w:hAnsi="Times New Roman" w:eastAsia="宋体" w:cs="Times New Roman"/>
          <w:color w:val="auto"/>
          <w:sz w:val="24"/>
          <w:szCs w:val="28"/>
          <w:highlight w:val="none"/>
          <w:lang w:val="en-US" w:eastAsia="zh-CN" w:bidi="ar"/>
        </w:rPr>
        <w:t>预</w:t>
      </w:r>
      <w:r>
        <w:rPr>
          <w:rFonts w:hint="default" w:ascii="Times New Roman" w:hAnsi="Times New Roman" w:eastAsia="宋体" w:cs="Times New Roman"/>
          <w:color w:val="auto"/>
          <w:sz w:val="24"/>
          <w:szCs w:val="28"/>
          <w:highlight w:val="none"/>
          <w:lang w:val="en-US" w:eastAsia="zh-CN" w:bidi="ar"/>
        </w:rPr>
        <w:t>处理</w:t>
      </w:r>
      <w:r>
        <w:rPr>
          <w:rFonts w:hint="eastAsia" w:ascii="Times New Roman" w:hAnsi="Times New Roman" w:eastAsia="宋体" w:cs="Times New Roman"/>
          <w:color w:val="auto"/>
          <w:sz w:val="24"/>
          <w:szCs w:val="28"/>
          <w:highlight w:val="none"/>
          <w:lang w:val="en-US" w:eastAsia="zh-CN" w:bidi="ar"/>
        </w:rPr>
        <w:t>，废气经预处理后其他废气一起经水洗塔处理后通过25m排气筒排放</w:t>
      </w:r>
      <w:r>
        <w:rPr>
          <w:rFonts w:hint="default" w:ascii="Times New Roman" w:hAnsi="Times New Roman" w:eastAsia="宋体" w:cs="Times New Roman"/>
          <w:color w:val="auto"/>
          <w:sz w:val="24"/>
          <w:szCs w:val="28"/>
          <w:highlight w:val="none"/>
          <w:lang w:val="en-US" w:eastAsia="zh-CN" w:bidi="ar"/>
        </w:rPr>
        <w:t>，该废气治理措施对氨处理效率较小，以不处理计</w:t>
      </w:r>
      <w:r>
        <w:rPr>
          <w:rFonts w:hint="eastAsia" w:ascii="Times New Roman" w:hAnsi="Times New Roman" w:eastAsia="宋体" w:cs="Times New Roman"/>
          <w:color w:val="auto"/>
          <w:sz w:val="24"/>
          <w:szCs w:val="28"/>
          <w:highlight w:val="none"/>
          <w:lang w:val="en-US" w:eastAsia="zh-CN" w:bidi="ar"/>
        </w:rPr>
        <w:t>，则</w:t>
      </w:r>
      <w:r>
        <w:rPr>
          <w:rFonts w:hint="eastAsia" w:ascii="Times New Roman" w:hAnsi="Times New Roman" w:cs="Times New Roman"/>
          <w:color w:val="auto"/>
          <w:sz w:val="24"/>
          <w:szCs w:val="28"/>
          <w:highlight w:val="none"/>
          <w:lang w:val="en-US" w:eastAsia="zh-CN" w:bidi="ar"/>
        </w:rPr>
        <w:t>包装废气游离氨有组织排放量为0.0087t/a，无组织排放量为0.0002t/a。</w:t>
      </w:r>
    </w:p>
    <w:p w14:paraId="4D8B91A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8"/>
          <w:highlight w:val="none"/>
          <w:lang w:bidi="ar"/>
        </w:rPr>
      </w:pPr>
      <w:r>
        <w:rPr>
          <w:rFonts w:hint="eastAsia" w:ascii="Times New Roman" w:hAnsi="Times New Roman" w:eastAsia="宋体" w:cs="Times New Roman"/>
          <w:color w:val="auto"/>
          <w:sz w:val="24"/>
          <w:szCs w:val="28"/>
          <w:highlight w:val="none"/>
          <w:lang w:val="en-US" w:eastAsia="zh-CN" w:bidi="ar"/>
        </w:rPr>
        <w:t>挤压造粒生产线游离氨有组织排放量为0.2128t/a，无组织排放量为0.0003t/a。</w:t>
      </w:r>
    </w:p>
    <w:p w14:paraId="7752604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8"/>
          <w:highlight w:val="none"/>
          <w:lang w:val="en-US" w:eastAsia="zh-CN" w:bidi="ar"/>
        </w:rPr>
      </w:pPr>
      <w:r>
        <w:rPr>
          <w:rFonts w:hint="default" w:ascii="Times New Roman" w:hAnsi="Times New Roman" w:eastAsia="宋体" w:cs="Times New Roman"/>
          <w:color w:val="auto"/>
          <w:sz w:val="24"/>
          <w:szCs w:val="28"/>
          <w:highlight w:val="none"/>
          <w:lang w:val="en-US" w:eastAsia="zh-CN" w:bidi="ar"/>
        </w:rPr>
        <w:t>硫化氢</w:t>
      </w:r>
      <w:r>
        <w:rPr>
          <w:rFonts w:hint="eastAsia" w:ascii="Times New Roman" w:hAnsi="Times New Roman" w:eastAsia="宋体" w:cs="Times New Roman"/>
          <w:color w:val="auto"/>
          <w:sz w:val="24"/>
          <w:szCs w:val="28"/>
          <w:highlight w:val="none"/>
          <w:lang w:val="en-US" w:eastAsia="zh-CN" w:bidi="ar"/>
        </w:rPr>
        <w:t>：</w:t>
      </w:r>
    </w:p>
    <w:p w14:paraId="4E081586">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8"/>
          <w:highlight w:val="none"/>
          <w:lang w:val="en-US" w:eastAsia="zh-CN" w:bidi="ar"/>
        </w:rPr>
      </w:pPr>
      <w:r>
        <w:rPr>
          <w:rFonts w:hint="default" w:ascii="Times New Roman" w:hAnsi="Times New Roman" w:eastAsia="宋体" w:cs="Times New Roman"/>
          <w:color w:val="auto"/>
          <w:sz w:val="24"/>
          <w:szCs w:val="28"/>
          <w:highlight w:val="none"/>
          <w:lang w:val="en-US" w:eastAsia="zh-CN" w:bidi="ar"/>
        </w:rPr>
        <w:t>原料腐殖酸钾属于有机质，生产过程中有游离硫化氢逸出，但腐殖酸钾使用量较少，且生产过程全密闭，硫化氢产生量极小，本次仅定性分析，不定量分析。</w:t>
      </w:r>
    </w:p>
    <w:p w14:paraId="09E8018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8"/>
          <w:highlight w:val="none"/>
          <w:lang w:val="en-US" w:eastAsia="zh-CN" w:bidi="ar"/>
        </w:rPr>
      </w:pPr>
      <w:r>
        <w:rPr>
          <w:rFonts w:hint="default" w:ascii="Times New Roman" w:hAnsi="Times New Roman" w:eastAsia="宋体" w:cs="Times New Roman"/>
          <w:color w:val="auto"/>
          <w:sz w:val="24"/>
          <w:szCs w:val="28"/>
          <w:highlight w:val="none"/>
          <w:lang w:val="en-US" w:eastAsia="zh-CN" w:bidi="ar"/>
        </w:rPr>
        <w:t>3）有机废气</w:t>
      </w:r>
    </w:p>
    <w:p w14:paraId="3BF09FC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8"/>
          <w:highlight w:val="none"/>
          <w:lang w:val="en-US" w:eastAsia="zh-CN" w:bidi="ar"/>
        </w:rPr>
      </w:pPr>
      <w:r>
        <w:rPr>
          <w:rFonts w:hint="default" w:ascii="Times New Roman" w:hAnsi="Times New Roman" w:eastAsia="宋体" w:cs="Times New Roman"/>
          <w:color w:val="auto"/>
          <w:sz w:val="24"/>
          <w:szCs w:val="28"/>
          <w:highlight w:val="none"/>
          <w:lang w:val="en-US" w:eastAsia="zh-CN" w:bidi="ar"/>
        </w:rPr>
        <w:t>本项目包膜过程使用防结板油，防结板油主要成分为植物油脂、润滑油脂和表面活性剂，包膜过程有有机废气（以非甲烷总烃计）产生。本项目防结板油使用量与改扩建前一样，且设备依托原有设备，则有机废气产生量0.6t/a不变，包膜设备全封闭，废气采用管道收集，包膜废气收集后经1套“旋风除尘+重力沉降室”处理后再通过一套水洗塔处理后经25m排气筒排放，该废气治理措施对有机废气处理效率较小，以不处理计，则包膜废气非甲烷总烃有组织废气排放量为0.6t/a。</w:t>
      </w:r>
    </w:p>
    <w:p w14:paraId="00D2B4E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8"/>
          <w:highlight w:val="none"/>
          <w:lang w:val="en-US" w:eastAsia="zh-CN" w:bidi="ar"/>
        </w:rPr>
      </w:pPr>
      <w:r>
        <w:rPr>
          <w:rFonts w:hint="default" w:ascii="Times New Roman" w:hAnsi="Times New Roman" w:eastAsia="宋体" w:cs="Times New Roman"/>
          <w:color w:val="auto"/>
          <w:sz w:val="24"/>
          <w:szCs w:val="28"/>
          <w:highlight w:val="none"/>
          <w:lang w:val="en-US" w:eastAsia="zh-CN" w:bidi="ar"/>
        </w:rPr>
        <w:t>4）硫酸脲配置废气</w:t>
      </w:r>
    </w:p>
    <w:p w14:paraId="08D48F56">
      <w:pPr>
        <w:adjustRightInd w:val="0"/>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eastAsia="宋体" w:cs="Times New Roman"/>
          <w:color w:val="auto"/>
          <w:sz w:val="24"/>
          <w:szCs w:val="28"/>
          <w:highlight w:val="none"/>
          <w:lang w:val="en-US" w:eastAsia="zh-CN" w:bidi="ar"/>
        </w:rPr>
        <w:t>本项目硫酸脲配置采用93%浓硫酸，在配置过程有硫酸雾产生，</w:t>
      </w:r>
      <w:r>
        <w:rPr>
          <w:rFonts w:hint="default" w:ascii="Times New Roman" w:hAnsi="Times New Roman" w:cs="Times New Roman"/>
          <w:color w:val="auto"/>
          <w:sz w:val="24"/>
          <w:highlight w:val="none"/>
        </w:rPr>
        <w:t>酸雾产生量计算方法选用《环境统计手册》中酸雾计算公式：</w:t>
      </w:r>
    </w:p>
    <w:p w14:paraId="57C02DAF">
      <w:pPr>
        <w:adjustRightInd w:val="0"/>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GZ=M(0.000352+0.000786V)P·F</w:t>
      </w:r>
    </w:p>
    <w:p w14:paraId="60460526">
      <w:pPr>
        <w:adjustRightInd w:val="0"/>
        <w:snapToGrid w:val="0"/>
        <w:spacing w:line="360" w:lineRule="auto"/>
        <w:ind w:left="1139" w:leftChars="371" w:hanging="360" w:hangingChars="1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式中： GZ—液体的蒸发量kg/h；</w:t>
      </w:r>
    </w:p>
    <w:p w14:paraId="771D92B2">
      <w:pPr>
        <w:adjustRightInd w:val="0"/>
        <w:snapToGrid w:val="0"/>
        <w:spacing w:line="360" w:lineRule="auto"/>
        <w:ind w:left="1138" w:leftChars="542"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M—液体的分子量M；</w:t>
      </w:r>
      <w:r>
        <w:rPr>
          <w:rFonts w:hint="default" w:ascii="Times New Roman" w:hAnsi="Times New Roman" w:cs="Times New Roman"/>
          <w:color w:val="auto"/>
          <w:sz w:val="24"/>
          <w:highlight w:val="none"/>
          <w:lang w:val="en-US" w:eastAsia="zh-CN"/>
        </w:rPr>
        <w:t>硫酸98.078</w:t>
      </w:r>
      <w:r>
        <w:rPr>
          <w:rFonts w:hint="default" w:ascii="Times New Roman" w:hAnsi="Times New Roman" w:cs="Times New Roman"/>
          <w:color w:val="auto"/>
          <w:sz w:val="24"/>
          <w:highlight w:val="none"/>
        </w:rPr>
        <w:t>；</w:t>
      </w:r>
    </w:p>
    <w:p w14:paraId="7E75B169">
      <w:pPr>
        <w:adjustRightInd w:val="0"/>
        <w:snapToGrid w:val="0"/>
        <w:spacing w:line="360" w:lineRule="auto"/>
        <w:ind w:left="1138" w:leftChars="542"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V—蒸发液体表面上的空气流速，m/s；0.35m/s；</w:t>
      </w:r>
    </w:p>
    <w:p w14:paraId="645C5A99">
      <w:pPr>
        <w:adjustRightInd w:val="0"/>
        <w:snapToGrid w:val="0"/>
        <w:spacing w:line="360" w:lineRule="auto"/>
        <w:ind w:left="1138" w:leftChars="542"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F—液体蒸发面的表面积，1.</w:t>
      </w:r>
      <w:r>
        <w:rPr>
          <w:rFonts w:hint="default" w:ascii="Times New Roman" w:hAnsi="Times New Roman" w:cs="Times New Roman"/>
          <w:color w:val="auto"/>
          <w:sz w:val="24"/>
          <w:highlight w:val="none"/>
          <w:lang w:val="en-US" w:eastAsia="zh-CN"/>
        </w:rPr>
        <w:t>13</w:t>
      </w:r>
      <w:r>
        <w:rPr>
          <w:rFonts w:hint="default" w:ascii="Times New Roman" w:hAnsi="Times New Roman" w:cs="Times New Roman"/>
          <w:color w:val="auto"/>
          <w:sz w:val="24"/>
          <w:highlight w:val="none"/>
        </w:rPr>
        <w:t>m</w:t>
      </w:r>
      <w:r>
        <w:rPr>
          <w:rFonts w:hint="default" w:ascii="Times New Roman" w:hAnsi="Times New Roman" w:cs="Times New Roman"/>
          <w:color w:val="auto"/>
          <w:sz w:val="24"/>
          <w:highlight w:val="none"/>
          <w:vertAlign w:val="superscript"/>
        </w:rPr>
        <w:t>2</w:t>
      </w:r>
      <w:r>
        <w:rPr>
          <w:rFonts w:hint="default" w:ascii="Times New Roman" w:hAnsi="Times New Roman" w:cs="Times New Roman"/>
          <w:color w:val="auto"/>
          <w:sz w:val="24"/>
          <w:highlight w:val="none"/>
        </w:rPr>
        <w:t>；</w:t>
      </w:r>
    </w:p>
    <w:p w14:paraId="18A7F2C2">
      <w:pPr>
        <w:adjustRightInd w:val="0"/>
        <w:snapToGrid w:val="0"/>
        <w:spacing w:line="360" w:lineRule="auto"/>
        <w:ind w:left="1138" w:leftChars="542"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rPr>
        <w:t>P—液体温度下的空气中的蒸汽分气压（mmHg），本次4mmHg。</w:t>
      </w:r>
    </w:p>
    <w:p w14:paraId="0DEC6720">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8"/>
          <w:highlight w:val="none"/>
          <w:lang w:val="en-US" w:eastAsia="zh-CN" w:bidi="ar"/>
        </w:rPr>
      </w:pPr>
      <w:r>
        <w:rPr>
          <w:rFonts w:hint="default" w:ascii="Times New Roman" w:hAnsi="Times New Roman" w:eastAsia="宋体" w:cs="Times New Roman"/>
          <w:color w:val="auto"/>
          <w:sz w:val="24"/>
          <w:szCs w:val="28"/>
          <w:highlight w:val="none"/>
          <w:lang w:val="en-US" w:eastAsia="zh-CN" w:bidi="ar"/>
        </w:rPr>
        <w:t>则本项目硫酸雾蒸发量为0.278kg/h，硫酸脲配置时间为1200h/a，因此，本项目硫酸雾产生量为0.3336t/a。硫酸脲配置过程配制罐全密闭，配制罐出气口设置管道收集废气，收集的硫酸雾经水喷淋处理后进入挤压造粒生产线废气处理系统水洗塔处理后经25m排气筒排放。硫酸雾处理效率为80%，则硫酸雾有组织排放量为0.0667t/a。</w:t>
      </w:r>
    </w:p>
    <w:p w14:paraId="5AC68B7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8"/>
          <w:highlight w:val="none"/>
          <w:lang w:val="en-US" w:eastAsia="zh-CN" w:bidi="ar"/>
        </w:rPr>
      </w:pPr>
      <w:r>
        <w:rPr>
          <w:rFonts w:hint="default" w:ascii="Times New Roman" w:hAnsi="Times New Roman" w:eastAsia="宋体" w:cs="Times New Roman"/>
          <w:color w:val="auto"/>
          <w:sz w:val="24"/>
          <w:szCs w:val="28"/>
          <w:highlight w:val="none"/>
          <w:lang w:val="en-US" w:eastAsia="zh-CN" w:bidi="ar"/>
        </w:rPr>
        <w:t>5）天然气燃烧废气</w:t>
      </w:r>
    </w:p>
    <w:p w14:paraId="3867274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bCs/>
          <w:color w:val="auto"/>
          <w:sz w:val="24"/>
          <w:highlight w:val="none"/>
        </w:rPr>
      </w:pPr>
      <w:r>
        <w:rPr>
          <w:rFonts w:hint="default" w:ascii="Times New Roman" w:hAnsi="Times New Roman" w:eastAsia="宋体" w:cs="Times New Roman"/>
          <w:color w:val="auto"/>
          <w:sz w:val="24"/>
          <w:szCs w:val="28"/>
          <w:highlight w:val="none"/>
          <w:lang w:val="en-US" w:eastAsia="zh-CN" w:bidi="ar"/>
        </w:rPr>
        <w:t>本项目烘干过程采用天然气加热，年用</w:t>
      </w:r>
      <w:r>
        <w:rPr>
          <w:rFonts w:hint="default" w:ascii="Times New Roman" w:hAnsi="Times New Roman" w:cs="Times New Roman"/>
          <w:bCs/>
          <w:color w:val="auto"/>
          <w:sz w:val="24"/>
          <w:highlight w:val="none"/>
        </w:rPr>
        <w:t>天然气</w:t>
      </w:r>
      <w:r>
        <w:rPr>
          <w:rFonts w:hint="default" w:ascii="Times New Roman" w:hAnsi="Times New Roman" w:cs="Times New Roman"/>
          <w:bCs/>
          <w:color w:val="auto"/>
          <w:sz w:val="24"/>
          <w:highlight w:val="none"/>
          <w:lang w:val="en-US" w:eastAsia="zh-CN"/>
        </w:rPr>
        <w:t>244</w:t>
      </w:r>
      <w:r>
        <w:rPr>
          <w:rFonts w:hint="default" w:ascii="Times New Roman" w:hAnsi="Times New Roman" w:cs="Times New Roman"/>
          <w:bCs/>
          <w:color w:val="auto"/>
          <w:sz w:val="24"/>
          <w:highlight w:val="none"/>
        </w:rPr>
        <w:t>万m</w:t>
      </w:r>
      <w:r>
        <w:rPr>
          <w:rFonts w:hint="default" w:ascii="Times New Roman" w:hAnsi="Times New Roman" w:cs="Times New Roman"/>
          <w:bCs/>
          <w:color w:val="auto"/>
          <w:sz w:val="24"/>
          <w:highlight w:val="none"/>
          <w:vertAlign w:val="superscript"/>
        </w:rPr>
        <w:t>3</w:t>
      </w:r>
      <w:r>
        <w:rPr>
          <w:rFonts w:hint="default" w:ascii="Times New Roman" w:hAnsi="Times New Roman" w:cs="Times New Roman"/>
          <w:bCs/>
          <w:color w:val="auto"/>
          <w:sz w:val="24"/>
          <w:highlight w:val="none"/>
        </w:rPr>
        <w:t>/a</w:t>
      </w:r>
      <w:r>
        <w:rPr>
          <w:rFonts w:hint="default" w:ascii="Times New Roman" w:hAnsi="Times New Roman" w:cs="Times New Roman"/>
          <w:bCs/>
          <w:color w:val="auto"/>
          <w:sz w:val="24"/>
          <w:highlight w:val="none"/>
          <w:lang w:eastAsia="zh-CN"/>
        </w:rPr>
        <w:t>，</w:t>
      </w:r>
      <w:r>
        <w:rPr>
          <w:rFonts w:hint="default" w:ascii="Times New Roman" w:hAnsi="Times New Roman" w:cs="Times New Roman"/>
          <w:bCs/>
          <w:color w:val="auto"/>
          <w:sz w:val="24"/>
          <w:highlight w:val="none"/>
          <w:lang w:val="en-US" w:eastAsia="zh-CN"/>
        </w:rPr>
        <w:t>企业改扩建前后天然气使用量不变，燃烧装置依托原有，且处理措施不变，天然气燃烧废气与烘干废气一起</w:t>
      </w:r>
      <w:r>
        <w:rPr>
          <w:rFonts w:hint="default" w:ascii="Times New Roman" w:hAnsi="Times New Roman" w:cs="Times New Roman"/>
          <w:color w:val="auto"/>
          <w:sz w:val="24"/>
          <w:highlight w:val="none"/>
          <w:lang w:val="en-US" w:eastAsia="zh-CN"/>
        </w:rPr>
        <w:t>经</w:t>
      </w:r>
      <w:r>
        <w:rPr>
          <w:rFonts w:hint="default" w:ascii="Times New Roman" w:hAnsi="Times New Roman" w:eastAsia="宋体" w:cs="Times New Roman"/>
          <w:color w:val="auto"/>
          <w:sz w:val="24"/>
          <w:szCs w:val="28"/>
          <w:highlight w:val="none"/>
          <w:lang w:val="en-US" w:eastAsia="zh-CN" w:bidi="ar"/>
        </w:rPr>
        <w:t>1套“旋风除尘+重力沉降室”处理后再通过一套水洗塔处理后经25m排气筒排放，风机风量为70000m</w:t>
      </w:r>
      <w:r>
        <w:rPr>
          <w:rFonts w:hint="default" w:ascii="Times New Roman" w:hAnsi="Times New Roman" w:eastAsia="宋体" w:cs="Times New Roman"/>
          <w:color w:val="auto"/>
          <w:sz w:val="24"/>
          <w:szCs w:val="28"/>
          <w:highlight w:val="none"/>
          <w:vertAlign w:val="superscript"/>
          <w:lang w:val="en-US" w:eastAsia="zh-CN" w:bidi="ar"/>
        </w:rPr>
        <w:t>3</w:t>
      </w:r>
      <w:r>
        <w:rPr>
          <w:rFonts w:hint="default" w:ascii="Times New Roman" w:hAnsi="Times New Roman" w:eastAsia="宋体" w:cs="Times New Roman"/>
          <w:color w:val="auto"/>
          <w:sz w:val="24"/>
          <w:szCs w:val="28"/>
          <w:highlight w:val="none"/>
          <w:lang w:val="en-US" w:eastAsia="zh-CN" w:bidi="ar"/>
        </w:rPr>
        <w:t>/h，根据原有项目环评，天然气燃烧废气排放量为颗粒物0.098t/a、</w:t>
      </w:r>
      <w:r>
        <w:rPr>
          <w:rFonts w:hint="default" w:ascii="Times New Roman" w:hAnsi="Times New Roman" w:cs="Times New Roman"/>
          <w:bCs/>
          <w:color w:val="auto"/>
          <w:sz w:val="24"/>
          <w:highlight w:val="none"/>
        </w:rPr>
        <w:t>SO</w:t>
      </w:r>
      <w:r>
        <w:rPr>
          <w:rFonts w:hint="default" w:ascii="Times New Roman" w:hAnsi="Times New Roman" w:cs="Times New Roman"/>
          <w:bCs/>
          <w:color w:val="auto"/>
          <w:sz w:val="24"/>
          <w:highlight w:val="none"/>
          <w:vertAlign w:val="subscript"/>
        </w:rPr>
        <w:t>2</w:t>
      </w:r>
      <w:r>
        <w:rPr>
          <w:rFonts w:hint="default" w:ascii="Times New Roman" w:hAnsi="Times New Roman" w:cs="Times New Roman"/>
          <w:bCs/>
          <w:color w:val="auto"/>
          <w:sz w:val="24"/>
          <w:highlight w:val="none"/>
          <w:lang w:val="en-US" w:eastAsia="zh-CN"/>
        </w:rPr>
        <w:t>0.098t/a</w:t>
      </w:r>
      <w:r>
        <w:rPr>
          <w:rFonts w:hint="default" w:ascii="Times New Roman" w:hAnsi="Times New Roman" w:cs="Times New Roman"/>
          <w:bCs/>
          <w:color w:val="auto"/>
          <w:sz w:val="24"/>
          <w:highlight w:val="none"/>
        </w:rPr>
        <w:t>、NOx</w:t>
      </w:r>
      <w:r>
        <w:rPr>
          <w:rFonts w:hint="default" w:ascii="Times New Roman" w:hAnsi="Times New Roman" w:cs="Times New Roman"/>
          <w:bCs/>
          <w:color w:val="auto"/>
          <w:sz w:val="24"/>
          <w:highlight w:val="none"/>
          <w:lang w:val="en-US" w:eastAsia="zh-CN"/>
        </w:rPr>
        <w:t>2.1t/a</w:t>
      </w:r>
      <w:r>
        <w:rPr>
          <w:rFonts w:hint="default" w:ascii="Times New Roman" w:hAnsi="Times New Roman" w:cs="Times New Roman"/>
          <w:bCs/>
          <w:color w:val="auto"/>
          <w:sz w:val="24"/>
          <w:highlight w:val="none"/>
        </w:rPr>
        <w:t>。</w:t>
      </w:r>
    </w:p>
    <w:p w14:paraId="0F533DAA">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color w:val="auto"/>
          <w:sz w:val="24"/>
          <w:szCs w:val="28"/>
          <w:highlight w:val="none"/>
          <w:lang w:val="en-US" w:eastAsia="zh-CN" w:bidi="ar"/>
        </w:rPr>
      </w:pPr>
      <w:r>
        <w:rPr>
          <w:rFonts w:hint="eastAsia" w:ascii="Times New Roman" w:hAnsi="Times New Roman" w:cs="Times New Roman"/>
          <w:b/>
          <w:bCs/>
          <w:color w:val="auto"/>
          <w:sz w:val="24"/>
          <w:szCs w:val="28"/>
          <w:highlight w:val="none"/>
          <w:lang w:val="en-US" w:eastAsia="zh-CN" w:bidi="ar"/>
        </w:rPr>
        <w:t>（2）</w:t>
      </w:r>
      <w:r>
        <w:rPr>
          <w:rFonts w:hint="default" w:ascii="Times New Roman" w:hAnsi="Times New Roman" w:eastAsia="宋体" w:cs="Times New Roman"/>
          <w:b/>
          <w:bCs/>
          <w:color w:val="auto"/>
          <w:sz w:val="24"/>
          <w:szCs w:val="28"/>
          <w:highlight w:val="none"/>
          <w:lang w:val="en-US" w:eastAsia="zh-CN" w:bidi="ar"/>
        </w:rPr>
        <w:t>液体肥料生产线废气</w:t>
      </w:r>
    </w:p>
    <w:p w14:paraId="4EC6F5D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1）颗粒物</w:t>
      </w:r>
    </w:p>
    <w:p w14:paraId="1A942A4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液体肥料配料过程有废气产生，主要污染物为颗粒物，参照《逸散性工业粉尘控制技术》“第十二章 混合肥料厂”转运至贮斗粉尘产污系数0.1kg/t-料，本项目粒料使用量为13400t/a，则液体肥料配料过程颗粒物产生量为1.34t/a，在投料口上方设置集气罩收集，废气收集效率约为90%，则液体肥料配料过程有组织废气产生量为1.206t/a，废气收集后采用袋式除尘器处理后通过15m排气筒排放，风机风量为3000m</w:t>
      </w:r>
      <w:r>
        <w:rPr>
          <w:rFonts w:hint="default" w:ascii="Times New Roman" w:hAnsi="Times New Roman" w:cs="Times New Roman"/>
          <w:color w:val="auto"/>
          <w:sz w:val="24"/>
          <w:highlight w:val="none"/>
          <w:vertAlign w:val="superscript"/>
          <w:lang w:val="en-US" w:eastAsia="zh-CN"/>
        </w:rPr>
        <w:t>3</w:t>
      </w:r>
      <w:r>
        <w:rPr>
          <w:rFonts w:hint="default" w:ascii="Times New Roman" w:hAnsi="Times New Roman" w:cs="Times New Roman"/>
          <w:color w:val="auto"/>
          <w:sz w:val="24"/>
          <w:highlight w:val="none"/>
          <w:lang w:val="en-US" w:eastAsia="zh-CN"/>
        </w:rPr>
        <w:t>/h，废气处理效率不低于99%，则废气有组织排放量为0.012t/a。</w:t>
      </w:r>
    </w:p>
    <w:p w14:paraId="2B2FD98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2）恶臭气体</w:t>
      </w:r>
    </w:p>
    <w:p w14:paraId="5A3724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①氨</w:t>
      </w:r>
    </w:p>
    <w:p w14:paraId="227A8F4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8"/>
          <w:highlight w:val="none"/>
          <w:lang w:val="en-US" w:eastAsia="zh-CN" w:bidi="ar"/>
        </w:rPr>
      </w:pPr>
      <w:r>
        <w:rPr>
          <w:rFonts w:hint="default" w:ascii="Times New Roman" w:hAnsi="Times New Roman" w:cs="Times New Roman"/>
          <w:color w:val="auto"/>
          <w:sz w:val="24"/>
          <w:szCs w:val="28"/>
          <w:highlight w:val="none"/>
          <w:lang w:val="en-US" w:eastAsia="zh-CN" w:bidi="ar"/>
        </w:rPr>
        <w:t>根据企业现有项目类比分析，企业现有项目含游离氨原料（尿素、磷酸一铵、硫酸铵、氯化铵）使用量共计21.2145万t/a，游离氨产生量约为1.14t/a，本项目液体肥料生产线使用的原料尿素、磷酸一铵共计4700t/a，则游离氨产生量为0.025t/a。</w:t>
      </w:r>
      <w:r>
        <w:rPr>
          <w:rFonts w:hint="default" w:ascii="Times New Roman" w:hAnsi="Times New Roman" w:cs="Times New Roman"/>
          <w:color w:val="auto"/>
          <w:sz w:val="24"/>
          <w:highlight w:val="none"/>
          <w:lang w:val="en-US" w:eastAsia="zh-CN"/>
        </w:rPr>
        <w:t>在投料口上方设置集气罩收集，废气收集效率约为90%，则液体肥料配料过程游离氨氨有组织产生量为0.0225t/a，废气收集后采用袋式除尘器处理后通过15m排气筒排放，风机风量为3000m</w:t>
      </w:r>
      <w:r>
        <w:rPr>
          <w:rFonts w:hint="default" w:ascii="Times New Roman" w:hAnsi="Times New Roman" w:cs="Times New Roman"/>
          <w:color w:val="auto"/>
          <w:sz w:val="24"/>
          <w:highlight w:val="none"/>
          <w:vertAlign w:val="superscript"/>
          <w:lang w:val="en-US" w:eastAsia="zh-CN"/>
        </w:rPr>
        <w:t>3</w:t>
      </w:r>
      <w:r>
        <w:rPr>
          <w:rFonts w:hint="default" w:ascii="Times New Roman" w:hAnsi="Times New Roman" w:cs="Times New Roman"/>
          <w:color w:val="auto"/>
          <w:sz w:val="24"/>
          <w:highlight w:val="none"/>
          <w:lang w:val="en-US" w:eastAsia="zh-CN"/>
        </w:rPr>
        <w:t>/h，</w:t>
      </w:r>
      <w:r>
        <w:rPr>
          <w:rFonts w:hint="default" w:ascii="Times New Roman" w:hAnsi="Times New Roman" w:eastAsia="宋体" w:cs="Times New Roman"/>
          <w:color w:val="auto"/>
          <w:sz w:val="24"/>
          <w:szCs w:val="28"/>
          <w:highlight w:val="none"/>
          <w:lang w:val="en-US" w:eastAsia="zh-CN" w:bidi="ar"/>
        </w:rPr>
        <w:t>该废气治理措施对氨处理效率较小，以不处理计，则有组织废气排放量氨</w:t>
      </w:r>
      <w:r>
        <w:rPr>
          <w:rFonts w:hint="default" w:ascii="Times New Roman" w:hAnsi="Times New Roman" w:cs="Times New Roman"/>
          <w:color w:val="auto"/>
          <w:sz w:val="24"/>
          <w:szCs w:val="28"/>
          <w:highlight w:val="none"/>
          <w:lang w:val="en-US" w:eastAsia="zh-CN" w:bidi="ar"/>
        </w:rPr>
        <w:t>0.0225t</w:t>
      </w:r>
      <w:r>
        <w:rPr>
          <w:rFonts w:hint="default" w:ascii="Times New Roman" w:hAnsi="Times New Roman" w:eastAsia="宋体" w:cs="Times New Roman"/>
          <w:color w:val="auto"/>
          <w:sz w:val="24"/>
          <w:szCs w:val="28"/>
          <w:highlight w:val="none"/>
          <w:lang w:val="en-US" w:eastAsia="zh-CN" w:bidi="ar"/>
        </w:rPr>
        <w:t>/a。</w:t>
      </w:r>
    </w:p>
    <w:p w14:paraId="485DD71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8"/>
          <w:highlight w:val="none"/>
          <w:lang w:val="en-US" w:eastAsia="zh-CN" w:bidi="ar"/>
        </w:rPr>
      </w:pPr>
      <w:r>
        <w:rPr>
          <w:rFonts w:hint="default" w:ascii="Times New Roman" w:hAnsi="Times New Roman" w:eastAsia="宋体" w:cs="Times New Roman"/>
          <w:color w:val="auto"/>
          <w:sz w:val="24"/>
          <w:szCs w:val="28"/>
          <w:highlight w:val="none"/>
          <w:lang w:val="en-US" w:eastAsia="zh-CN" w:bidi="ar"/>
        </w:rPr>
        <w:t>②硫化氢</w:t>
      </w:r>
    </w:p>
    <w:p w14:paraId="3913E456">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8"/>
          <w:highlight w:val="none"/>
          <w:lang w:val="en-US" w:eastAsia="zh-CN" w:bidi="ar"/>
        </w:rPr>
      </w:pPr>
      <w:r>
        <w:rPr>
          <w:rFonts w:hint="default" w:ascii="Times New Roman" w:hAnsi="Times New Roman" w:eastAsia="宋体" w:cs="Times New Roman"/>
          <w:color w:val="auto"/>
          <w:sz w:val="24"/>
          <w:szCs w:val="28"/>
          <w:highlight w:val="none"/>
          <w:lang w:val="en-US" w:eastAsia="zh-CN" w:bidi="ar"/>
        </w:rPr>
        <w:t>乳糖母液中含有有机质，生产过程中有游离硫化氢逸出，由于生产过程全密闭，硫化氢产生量极小，本次仅定性分析，不定量分析。</w:t>
      </w:r>
    </w:p>
    <w:p w14:paraId="1A9759B2">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color w:val="auto"/>
          <w:sz w:val="24"/>
          <w:szCs w:val="28"/>
          <w:highlight w:val="none"/>
          <w:lang w:val="en-US" w:eastAsia="zh-CN" w:bidi="ar"/>
        </w:rPr>
      </w:pPr>
      <w:r>
        <w:rPr>
          <w:rFonts w:hint="eastAsia" w:ascii="Times New Roman" w:hAnsi="Times New Roman" w:eastAsia="宋体" w:cs="Times New Roman"/>
          <w:b/>
          <w:bCs/>
          <w:color w:val="auto"/>
          <w:sz w:val="24"/>
          <w:szCs w:val="28"/>
          <w:highlight w:val="none"/>
          <w:lang w:val="en-US" w:eastAsia="zh-CN" w:bidi="ar"/>
        </w:rPr>
        <w:t>2、无组织废气</w:t>
      </w:r>
    </w:p>
    <w:p w14:paraId="7EA2B44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8"/>
          <w:highlight w:val="none"/>
          <w:lang w:val="en-US" w:eastAsia="zh-CN" w:bidi="ar"/>
        </w:rPr>
      </w:pPr>
      <w:r>
        <w:rPr>
          <w:rFonts w:hint="default" w:ascii="Times New Roman" w:hAnsi="Times New Roman" w:eastAsia="宋体" w:cs="Times New Roman"/>
          <w:color w:val="auto"/>
          <w:sz w:val="24"/>
          <w:szCs w:val="28"/>
          <w:highlight w:val="none"/>
          <w:lang w:val="en-US" w:eastAsia="zh-CN" w:bidi="ar"/>
        </w:rPr>
        <w:t>本项目无组织废气主要为</w:t>
      </w:r>
      <w:r>
        <w:rPr>
          <w:rFonts w:hint="default" w:ascii="Times New Roman" w:hAnsi="Times New Roman" w:cs="Times New Roman"/>
          <w:color w:val="auto"/>
          <w:sz w:val="24"/>
          <w:szCs w:val="28"/>
          <w:highlight w:val="none"/>
          <w:lang w:val="en-US" w:eastAsia="zh-CN" w:bidi="ar"/>
        </w:rPr>
        <w:t>挤压</w:t>
      </w:r>
      <w:r>
        <w:rPr>
          <w:rFonts w:hint="default" w:ascii="Times New Roman" w:hAnsi="Times New Roman" w:eastAsia="宋体" w:cs="Times New Roman"/>
          <w:color w:val="auto"/>
          <w:sz w:val="24"/>
          <w:szCs w:val="28"/>
          <w:highlight w:val="none"/>
          <w:lang w:val="en-US" w:eastAsia="zh-CN" w:bidi="ar"/>
        </w:rPr>
        <w:t>造粒生产线未收集的废气、液体肥料生产线未收集的废气和硫酸临时暂存区的呼吸废气。</w:t>
      </w:r>
    </w:p>
    <w:p w14:paraId="1E4A4D8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8"/>
          <w:highlight w:val="none"/>
          <w:lang w:val="en-US" w:eastAsia="zh-CN" w:bidi="ar"/>
        </w:rPr>
      </w:pPr>
      <w:r>
        <w:rPr>
          <w:rFonts w:hint="eastAsia" w:ascii="Times New Roman" w:hAnsi="Times New Roman" w:eastAsia="宋体" w:cs="Times New Roman"/>
          <w:color w:val="auto"/>
          <w:sz w:val="24"/>
          <w:szCs w:val="28"/>
          <w:highlight w:val="none"/>
          <w:lang w:val="en-US" w:eastAsia="zh-CN" w:bidi="ar"/>
        </w:rPr>
        <w:t>（1）</w:t>
      </w:r>
      <w:r>
        <w:rPr>
          <w:rFonts w:hint="default" w:ascii="Times New Roman" w:hAnsi="Times New Roman" w:cs="Times New Roman"/>
          <w:color w:val="auto"/>
          <w:sz w:val="24"/>
          <w:szCs w:val="28"/>
          <w:highlight w:val="none"/>
          <w:lang w:val="en-US" w:eastAsia="zh-CN" w:bidi="ar"/>
        </w:rPr>
        <w:t>挤压</w:t>
      </w:r>
      <w:r>
        <w:rPr>
          <w:rFonts w:hint="default" w:ascii="Times New Roman" w:hAnsi="Times New Roman" w:eastAsia="宋体" w:cs="Times New Roman"/>
          <w:color w:val="auto"/>
          <w:sz w:val="24"/>
          <w:szCs w:val="28"/>
          <w:highlight w:val="none"/>
          <w:lang w:val="en-US" w:eastAsia="zh-CN" w:bidi="ar"/>
        </w:rPr>
        <w:t>造粒生产线无组织废气</w:t>
      </w:r>
    </w:p>
    <w:p w14:paraId="7743CA6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8"/>
          <w:highlight w:val="none"/>
          <w:lang w:val="en-US" w:eastAsia="zh-CN" w:bidi="ar"/>
        </w:rPr>
      </w:pPr>
      <w:r>
        <w:rPr>
          <w:rFonts w:hint="default" w:ascii="Times New Roman" w:hAnsi="Times New Roman" w:eastAsia="宋体" w:cs="Times New Roman"/>
          <w:color w:val="auto"/>
          <w:sz w:val="24"/>
          <w:szCs w:val="28"/>
          <w:highlight w:val="none"/>
          <w:lang w:val="en-US" w:eastAsia="zh-CN" w:bidi="ar"/>
        </w:rPr>
        <w:t>本项目</w:t>
      </w:r>
      <w:r>
        <w:rPr>
          <w:rFonts w:hint="default" w:ascii="Times New Roman" w:hAnsi="Times New Roman" w:cs="Times New Roman"/>
          <w:color w:val="auto"/>
          <w:sz w:val="24"/>
          <w:szCs w:val="28"/>
          <w:highlight w:val="none"/>
          <w:lang w:val="en-US" w:eastAsia="zh-CN" w:bidi="ar"/>
        </w:rPr>
        <w:t>挤压</w:t>
      </w:r>
      <w:r>
        <w:rPr>
          <w:rFonts w:hint="default" w:ascii="Times New Roman" w:hAnsi="Times New Roman" w:eastAsia="宋体" w:cs="Times New Roman"/>
          <w:color w:val="auto"/>
          <w:sz w:val="24"/>
          <w:szCs w:val="28"/>
          <w:highlight w:val="none"/>
          <w:lang w:val="en-US" w:eastAsia="zh-CN" w:bidi="ar"/>
        </w:rPr>
        <w:t>造粒生产线</w:t>
      </w:r>
      <w:r>
        <w:rPr>
          <w:rFonts w:hint="eastAsia" w:ascii="Times New Roman" w:hAnsi="Times New Roman" w:eastAsia="宋体" w:cs="Times New Roman"/>
          <w:color w:val="auto"/>
          <w:sz w:val="24"/>
          <w:szCs w:val="28"/>
          <w:highlight w:val="none"/>
          <w:lang w:val="en-US" w:eastAsia="zh-CN" w:bidi="ar"/>
        </w:rPr>
        <w:t>废气</w:t>
      </w:r>
      <w:r>
        <w:rPr>
          <w:rFonts w:hint="default" w:ascii="Times New Roman" w:hAnsi="Times New Roman" w:eastAsia="宋体" w:cs="Times New Roman"/>
          <w:color w:val="auto"/>
          <w:sz w:val="24"/>
          <w:szCs w:val="28"/>
          <w:highlight w:val="none"/>
          <w:lang w:val="en-US" w:eastAsia="zh-CN" w:bidi="ar"/>
        </w:rPr>
        <w:t>无组织排放量为颗粒物</w:t>
      </w:r>
      <w:r>
        <w:rPr>
          <w:rFonts w:hint="eastAsia" w:ascii="Times New Roman" w:hAnsi="Times New Roman" w:cs="Times New Roman"/>
          <w:color w:val="auto"/>
          <w:sz w:val="24"/>
          <w:szCs w:val="28"/>
          <w:highlight w:val="none"/>
          <w:lang w:val="en-US" w:eastAsia="zh-CN" w:bidi="ar"/>
        </w:rPr>
        <w:t>0.7575</w:t>
      </w:r>
      <w:r>
        <w:rPr>
          <w:rFonts w:hint="default" w:ascii="Times New Roman" w:hAnsi="Times New Roman" w:eastAsia="宋体" w:cs="Times New Roman"/>
          <w:color w:val="auto"/>
          <w:sz w:val="24"/>
          <w:szCs w:val="28"/>
          <w:highlight w:val="none"/>
          <w:lang w:val="en-US" w:eastAsia="zh-CN" w:bidi="ar"/>
        </w:rPr>
        <w:t>t/a、氨</w:t>
      </w:r>
      <w:r>
        <w:rPr>
          <w:rFonts w:hint="default" w:ascii="Times New Roman" w:hAnsi="Times New Roman" w:cs="Times New Roman"/>
          <w:color w:val="auto"/>
          <w:sz w:val="24"/>
          <w:szCs w:val="28"/>
          <w:highlight w:val="none"/>
          <w:lang w:val="en-US" w:eastAsia="zh-CN" w:bidi="ar"/>
        </w:rPr>
        <w:t>0.000</w:t>
      </w:r>
      <w:r>
        <w:rPr>
          <w:rFonts w:hint="eastAsia" w:ascii="Times New Roman" w:hAnsi="Times New Roman" w:cs="Times New Roman"/>
          <w:color w:val="auto"/>
          <w:sz w:val="24"/>
          <w:szCs w:val="28"/>
          <w:highlight w:val="none"/>
          <w:lang w:val="en-US" w:eastAsia="zh-CN" w:bidi="ar"/>
        </w:rPr>
        <w:t>3</w:t>
      </w:r>
      <w:r>
        <w:rPr>
          <w:rFonts w:hint="default" w:ascii="Times New Roman" w:hAnsi="Times New Roman" w:eastAsia="宋体" w:cs="Times New Roman"/>
          <w:color w:val="auto"/>
          <w:sz w:val="24"/>
          <w:szCs w:val="28"/>
          <w:highlight w:val="none"/>
          <w:lang w:val="en-US" w:eastAsia="zh-CN" w:bidi="ar"/>
        </w:rPr>
        <w:t>t/a。</w:t>
      </w:r>
    </w:p>
    <w:p w14:paraId="53CC05A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8"/>
          <w:highlight w:val="none"/>
          <w:lang w:val="en-US" w:eastAsia="zh-CN" w:bidi="ar"/>
        </w:rPr>
      </w:pPr>
      <w:r>
        <w:rPr>
          <w:rFonts w:hint="eastAsia" w:ascii="Times New Roman" w:hAnsi="Times New Roman" w:eastAsia="宋体" w:cs="Times New Roman"/>
          <w:color w:val="auto"/>
          <w:sz w:val="24"/>
          <w:szCs w:val="28"/>
          <w:highlight w:val="none"/>
          <w:lang w:val="en-US" w:eastAsia="zh-CN" w:bidi="ar"/>
        </w:rPr>
        <w:t>（2）</w:t>
      </w:r>
      <w:r>
        <w:rPr>
          <w:rFonts w:hint="default" w:ascii="Times New Roman" w:hAnsi="Times New Roman" w:eastAsia="宋体" w:cs="Times New Roman"/>
          <w:color w:val="auto"/>
          <w:sz w:val="24"/>
          <w:szCs w:val="28"/>
          <w:highlight w:val="none"/>
          <w:lang w:val="en-US" w:eastAsia="zh-CN" w:bidi="ar"/>
        </w:rPr>
        <w:t>液体肥料生产线无组织废气</w:t>
      </w:r>
    </w:p>
    <w:p w14:paraId="11FC476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8"/>
          <w:highlight w:val="none"/>
          <w:lang w:val="en-US" w:eastAsia="zh-CN" w:bidi="ar"/>
        </w:rPr>
      </w:pPr>
      <w:r>
        <w:rPr>
          <w:rFonts w:hint="default" w:ascii="Times New Roman" w:hAnsi="Times New Roman" w:cs="Times New Roman"/>
          <w:color w:val="auto"/>
          <w:sz w:val="24"/>
          <w:highlight w:val="none"/>
          <w:lang w:val="en-US" w:eastAsia="zh-CN"/>
        </w:rPr>
        <w:t>本项目在液体肥料生产线废气无组织排放量为颗粒物0.134t/a、氨0.0025t/a。</w:t>
      </w:r>
    </w:p>
    <w:p w14:paraId="59B3923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highlight w:val="none"/>
          <w:lang w:val="en-US" w:eastAsia="zh-CN" w:bidi="ar"/>
        </w:rPr>
      </w:pPr>
      <w:r>
        <w:rPr>
          <w:rFonts w:hint="eastAsia" w:ascii="Times New Roman" w:hAnsi="Times New Roman" w:eastAsia="宋体" w:cs="Times New Roman"/>
          <w:color w:val="auto"/>
          <w:sz w:val="24"/>
          <w:highlight w:val="none"/>
          <w:lang w:val="en-US" w:eastAsia="zh-CN" w:bidi="ar"/>
        </w:rPr>
        <w:t>（3）</w:t>
      </w:r>
      <w:r>
        <w:rPr>
          <w:rFonts w:hint="default" w:ascii="Times New Roman" w:hAnsi="Times New Roman" w:eastAsia="宋体" w:cs="Times New Roman"/>
          <w:color w:val="auto"/>
          <w:sz w:val="24"/>
          <w:highlight w:val="none"/>
          <w:lang w:val="en-US" w:eastAsia="zh-CN" w:bidi="ar"/>
        </w:rPr>
        <w:t>硫化氢</w:t>
      </w:r>
    </w:p>
    <w:p w14:paraId="023D7D4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highlight w:val="none"/>
          <w:lang w:val="en-US" w:eastAsia="zh-CN" w:bidi="ar"/>
        </w:rPr>
      </w:pPr>
      <w:r>
        <w:rPr>
          <w:rFonts w:hint="default" w:ascii="Times New Roman" w:hAnsi="Times New Roman" w:eastAsia="宋体" w:cs="Times New Roman"/>
          <w:color w:val="auto"/>
          <w:sz w:val="24"/>
          <w:highlight w:val="none"/>
          <w:lang w:val="en-US" w:eastAsia="zh-CN" w:bidi="ar"/>
        </w:rPr>
        <w:t>项目生产过程硫化氢产生量极小，本次仅定性分析，不定量分析。</w:t>
      </w:r>
    </w:p>
    <w:p w14:paraId="0485DE27">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cs="Times New Roman"/>
          <w:b/>
          <w:bCs/>
          <w:color w:val="auto"/>
          <w:sz w:val="24"/>
          <w:szCs w:val="28"/>
          <w:highlight w:val="none"/>
          <w:lang w:val="en-US" w:eastAsia="zh-CN" w:bidi="ar"/>
        </w:rPr>
      </w:pPr>
      <w:r>
        <w:rPr>
          <w:rFonts w:hint="eastAsia" w:ascii="Times New Roman" w:hAnsi="Times New Roman" w:cs="Times New Roman"/>
          <w:b/>
          <w:bCs/>
          <w:color w:val="auto"/>
          <w:sz w:val="24"/>
          <w:szCs w:val="28"/>
          <w:highlight w:val="none"/>
          <w:lang w:val="en-US" w:eastAsia="zh-CN" w:bidi="ar"/>
        </w:rPr>
        <w:t>3、废气排放变化量</w:t>
      </w:r>
    </w:p>
    <w:p w14:paraId="1637F5C3">
      <w:pPr>
        <w:numPr>
          <w:ilvl w:val="0"/>
          <w:numId w:val="0"/>
        </w:numPr>
        <w:adjustRightInd w:val="0"/>
        <w:snapToGrid w:val="0"/>
        <w:spacing w:line="360" w:lineRule="auto"/>
        <w:ind w:firstLine="480" w:firstLineChars="200"/>
        <w:rPr>
          <w:rFonts w:hint="default" w:ascii="Times New Roman" w:hAnsi="Times New Roman" w:cs="Times New Roman"/>
          <w:color w:val="auto"/>
          <w:sz w:val="24"/>
          <w:lang w:val="en-US" w:eastAsia="zh-CN"/>
        </w:rPr>
      </w:pPr>
      <w:r>
        <w:rPr>
          <w:rFonts w:hint="eastAsia" w:ascii="Times New Roman" w:hAnsi="Times New Roman" w:cs="Times New Roman"/>
          <w:color w:val="auto"/>
          <w:sz w:val="24"/>
          <w:lang w:val="en-US" w:eastAsia="zh-CN"/>
        </w:rPr>
        <w:t>实际建设与环评废气排放量变化情况如下：</w:t>
      </w:r>
    </w:p>
    <w:p w14:paraId="77F5E469">
      <w:pPr>
        <w:numPr>
          <w:ilvl w:val="0"/>
          <w:numId w:val="0"/>
        </w:numPr>
        <w:adjustRightInd w:val="0"/>
        <w:snapToGrid w:val="0"/>
        <w:spacing w:line="360" w:lineRule="auto"/>
        <w:jc w:val="center"/>
        <w:rPr>
          <w:rFonts w:hint="default" w:ascii="Times New Roman" w:hAnsi="Times New Roman" w:cs="Times New Roman"/>
          <w:b/>
          <w:bCs/>
          <w:color w:val="auto"/>
          <w:sz w:val="24"/>
          <w:lang w:val="en-US" w:eastAsia="zh-CN"/>
        </w:rPr>
      </w:pPr>
      <w:r>
        <w:rPr>
          <w:rFonts w:hint="eastAsia" w:ascii="Times New Roman" w:hAnsi="Times New Roman" w:cs="Times New Roman"/>
          <w:b/>
          <w:bCs/>
          <w:color w:val="auto"/>
          <w:sz w:val="24"/>
          <w:lang w:val="en-US" w:eastAsia="zh-CN"/>
        </w:rPr>
        <w:t>表4  废气变化情况一览表（单位：t/a）</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7"/>
        <w:gridCol w:w="1307"/>
        <w:gridCol w:w="1307"/>
        <w:gridCol w:w="1307"/>
        <w:gridCol w:w="1307"/>
        <w:gridCol w:w="1308"/>
        <w:gridCol w:w="1308"/>
      </w:tblGrid>
      <w:tr w14:paraId="5CDAB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7" w:type="dxa"/>
            <w:vAlign w:val="center"/>
          </w:tcPr>
          <w:p w14:paraId="3EB3F611">
            <w:pPr>
              <w:keepNext w:val="0"/>
              <w:keepLines w:val="0"/>
              <w:pageBreakBefore w:val="0"/>
              <w:numPr>
                <w:ilvl w:val="0"/>
                <w:numId w:val="0"/>
              </w:numPr>
              <w:kinsoku/>
              <w:wordWrap/>
              <w:overflowPunct/>
              <w:topLinePunct w:val="0"/>
              <w:autoSpaceDE/>
              <w:autoSpaceDN/>
              <w:bidi w:val="0"/>
              <w:adjustRightInd w:val="0"/>
              <w:snapToGrid w:val="0"/>
              <w:spacing w:line="240" w:lineRule="auto"/>
              <w:jc w:val="center"/>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排放方式</w:t>
            </w:r>
          </w:p>
        </w:tc>
        <w:tc>
          <w:tcPr>
            <w:tcW w:w="1307" w:type="dxa"/>
            <w:vAlign w:val="center"/>
          </w:tcPr>
          <w:p w14:paraId="60DFD2B2">
            <w:pPr>
              <w:keepNext w:val="0"/>
              <w:keepLines w:val="0"/>
              <w:pageBreakBefore w:val="0"/>
              <w:numPr>
                <w:ilvl w:val="0"/>
                <w:numId w:val="0"/>
              </w:numPr>
              <w:kinsoku/>
              <w:wordWrap/>
              <w:overflowPunct/>
              <w:topLinePunct w:val="0"/>
              <w:autoSpaceDE/>
              <w:autoSpaceDN/>
              <w:bidi w:val="0"/>
              <w:adjustRightInd w:val="0"/>
              <w:snapToGrid w:val="0"/>
              <w:spacing w:line="240" w:lineRule="auto"/>
              <w:jc w:val="center"/>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污染因子</w:t>
            </w:r>
          </w:p>
        </w:tc>
        <w:tc>
          <w:tcPr>
            <w:tcW w:w="1307" w:type="dxa"/>
            <w:vAlign w:val="center"/>
          </w:tcPr>
          <w:p w14:paraId="069E7F3A">
            <w:pPr>
              <w:keepNext w:val="0"/>
              <w:keepLines w:val="0"/>
              <w:pageBreakBefore w:val="0"/>
              <w:numPr>
                <w:ilvl w:val="0"/>
                <w:numId w:val="0"/>
              </w:numPr>
              <w:kinsoku/>
              <w:wordWrap/>
              <w:overflowPunct/>
              <w:topLinePunct w:val="0"/>
              <w:autoSpaceDE/>
              <w:autoSpaceDN/>
              <w:bidi w:val="0"/>
              <w:adjustRightInd w:val="0"/>
              <w:snapToGrid w:val="0"/>
              <w:spacing w:line="240" w:lineRule="auto"/>
              <w:jc w:val="center"/>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环评设计排放量</w:t>
            </w:r>
          </w:p>
        </w:tc>
        <w:tc>
          <w:tcPr>
            <w:tcW w:w="1307" w:type="dxa"/>
            <w:vAlign w:val="center"/>
          </w:tcPr>
          <w:p w14:paraId="47A5CB8D">
            <w:pPr>
              <w:keepNext w:val="0"/>
              <w:keepLines w:val="0"/>
              <w:pageBreakBefore w:val="0"/>
              <w:numPr>
                <w:ilvl w:val="0"/>
                <w:numId w:val="0"/>
              </w:numPr>
              <w:kinsoku/>
              <w:wordWrap/>
              <w:overflowPunct/>
              <w:topLinePunct w:val="0"/>
              <w:autoSpaceDE/>
              <w:autoSpaceDN/>
              <w:bidi w:val="0"/>
              <w:adjustRightInd w:val="0"/>
              <w:snapToGrid w:val="0"/>
              <w:spacing w:line="240" w:lineRule="auto"/>
              <w:jc w:val="center"/>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实际排放量</w:t>
            </w:r>
          </w:p>
        </w:tc>
        <w:tc>
          <w:tcPr>
            <w:tcW w:w="1307" w:type="dxa"/>
            <w:vAlign w:val="center"/>
          </w:tcPr>
          <w:p w14:paraId="77AE80F3">
            <w:pPr>
              <w:keepNext w:val="0"/>
              <w:keepLines w:val="0"/>
              <w:pageBreakBefore w:val="0"/>
              <w:numPr>
                <w:ilvl w:val="0"/>
                <w:numId w:val="0"/>
              </w:numPr>
              <w:kinsoku/>
              <w:wordWrap/>
              <w:overflowPunct/>
              <w:topLinePunct w:val="0"/>
              <w:autoSpaceDE/>
              <w:autoSpaceDN/>
              <w:bidi w:val="0"/>
              <w:adjustRightInd w:val="0"/>
              <w:snapToGrid w:val="0"/>
              <w:spacing w:line="240" w:lineRule="auto"/>
              <w:jc w:val="center"/>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排放增减量</w:t>
            </w:r>
          </w:p>
        </w:tc>
        <w:tc>
          <w:tcPr>
            <w:tcW w:w="1308" w:type="dxa"/>
            <w:vAlign w:val="center"/>
          </w:tcPr>
          <w:p w14:paraId="052086DA">
            <w:pPr>
              <w:keepNext w:val="0"/>
              <w:keepLines w:val="0"/>
              <w:pageBreakBefore w:val="0"/>
              <w:numPr>
                <w:ilvl w:val="0"/>
                <w:numId w:val="0"/>
              </w:numPr>
              <w:kinsoku/>
              <w:wordWrap/>
              <w:overflowPunct/>
              <w:topLinePunct w:val="0"/>
              <w:autoSpaceDE/>
              <w:autoSpaceDN/>
              <w:bidi w:val="0"/>
              <w:adjustRightInd w:val="0"/>
              <w:snapToGrid w:val="0"/>
              <w:spacing w:line="240" w:lineRule="auto"/>
              <w:jc w:val="center"/>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增长率%</w:t>
            </w:r>
          </w:p>
        </w:tc>
        <w:tc>
          <w:tcPr>
            <w:tcW w:w="1308" w:type="dxa"/>
            <w:vAlign w:val="center"/>
          </w:tcPr>
          <w:p w14:paraId="3A3A9AF9">
            <w:pPr>
              <w:keepNext w:val="0"/>
              <w:keepLines w:val="0"/>
              <w:pageBreakBefore w:val="0"/>
              <w:numPr>
                <w:ilvl w:val="0"/>
                <w:numId w:val="0"/>
              </w:numPr>
              <w:kinsoku/>
              <w:wordWrap/>
              <w:overflowPunct/>
              <w:topLinePunct w:val="0"/>
              <w:autoSpaceDE/>
              <w:autoSpaceDN/>
              <w:bidi w:val="0"/>
              <w:adjustRightInd w:val="0"/>
              <w:snapToGrid w:val="0"/>
              <w:spacing w:line="240" w:lineRule="auto"/>
              <w:jc w:val="center"/>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是否属于重大变动</w:t>
            </w:r>
          </w:p>
        </w:tc>
      </w:tr>
      <w:tr w14:paraId="3BC33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7" w:type="dxa"/>
            <w:vMerge w:val="restart"/>
            <w:vAlign w:val="center"/>
          </w:tcPr>
          <w:p w14:paraId="7795DC51">
            <w:pPr>
              <w:keepNext w:val="0"/>
              <w:keepLines w:val="0"/>
              <w:pageBreakBefore w:val="0"/>
              <w:numPr>
                <w:ilvl w:val="0"/>
                <w:numId w:val="0"/>
              </w:numPr>
              <w:kinsoku/>
              <w:wordWrap/>
              <w:overflowPunct/>
              <w:topLinePunct w:val="0"/>
              <w:autoSpaceDE/>
              <w:autoSpaceDN/>
              <w:bidi w:val="0"/>
              <w:adjustRightInd w:val="0"/>
              <w:snapToGrid w:val="0"/>
              <w:spacing w:line="240" w:lineRule="auto"/>
              <w:jc w:val="center"/>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有组织</w:t>
            </w:r>
          </w:p>
        </w:tc>
        <w:tc>
          <w:tcPr>
            <w:tcW w:w="1307" w:type="dxa"/>
            <w:shd w:val="clear" w:color="auto" w:fill="auto"/>
            <w:vAlign w:val="center"/>
          </w:tcPr>
          <w:p w14:paraId="3ADFC73D">
            <w:pPr>
              <w:keepNext w:val="0"/>
              <w:keepLines w:val="0"/>
              <w:pageBreakBefore w:val="0"/>
              <w:kinsoku/>
              <w:wordWrap/>
              <w:overflowPunct/>
              <w:topLinePunct w:val="0"/>
              <w:autoSpaceDE/>
              <w:autoSpaceDN/>
              <w:bidi w:val="0"/>
              <w:spacing w:line="240" w:lineRule="auto"/>
              <w:jc w:val="center"/>
              <w:rPr>
                <w:rFonts w:hint="eastAsia"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颗粒物</w:t>
            </w:r>
          </w:p>
        </w:tc>
        <w:tc>
          <w:tcPr>
            <w:tcW w:w="1307" w:type="dxa"/>
            <w:shd w:val="clear" w:color="auto" w:fill="auto"/>
            <w:vAlign w:val="center"/>
          </w:tcPr>
          <w:p w14:paraId="217F359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Times New Roman" w:hAnsi="Times New Roman" w:eastAsia="宋体" w:cs="Times New Roman"/>
                <w:color w:val="auto"/>
                <w:kern w:val="2"/>
                <w:sz w:val="21"/>
                <w:szCs w:val="21"/>
                <w:highlight w:val="none"/>
                <w:vertAlign w:val="baseline"/>
                <w:lang w:val="en-US" w:eastAsia="zh-CN" w:bidi="ar"/>
              </w:rPr>
            </w:pPr>
            <w:r>
              <w:rPr>
                <w:rFonts w:hint="default" w:ascii="Times New Roman" w:hAnsi="Times New Roman" w:cs="Times New Roman"/>
                <w:color w:val="auto"/>
                <w:kern w:val="2"/>
                <w:sz w:val="21"/>
                <w:szCs w:val="21"/>
                <w:highlight w:val="none"/>
                <w:vertAlign w:val="baseline"/>
                <w:lang w:val="en-US" w:eastAsia="zh-CN" w:bidi="ar"/>
              </w:rPr>
              <w:t>2.1279</w:t>
            </w:r>
          </w:p>
        </w:tc>
        <w:tc>
          <w:tcPr>
            <w:tcW w:w="1307" w:type="dxa"/>
            <w:vAlign w:val="center"/>
          </w:tcPr>
          <w:p w14:paraId="0E1ABADD">
            <w:pPr>
              <w:keepNext w:val="0"/>
              <w:keepLines w:val="0"/>
              <w:pageBreakBefore w:val="0"/>
              <w:numPr>
                <w:ilvl w:val="0"/>
                <w:numId w:val="0"/>
              </w:numPr>
              <w:kinsoku/>
              <w:wordWrap/>
              <w:overflowPunct/>
              <w:topLinePunct w:val="0"/>
              <w:autoSpaceDE/>
              <w:autoSpaceDN/>
              <w:bidi w:val="0"/>
              <w:adjustRightInd w:val="0"/>
              <w:snapToGrid w:val="0"/>
              <w:spacing w:line="240" w:lineRule="auto"/>
              <w:jc w:val="center"/>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1.3212</w:t>
            </w:r>
          </w:p>
        </w:tc>
        <w:tc>
          <w:tcPr>
            <w:tcW w:w="1307" w:type="dxa"/>
            <w:vAlign w:val="center"/>
          </w:tcPr>
          <w:p w14:paraId="78403782">
            <w:pPr>
              <w:keepNext w:val="0"/>
              <w:keepLines w:val="0"/>
              <w:pageBreakBefore w:val="0"/>
              <w:numPr>
                <w:ilvl w:val="0"/>
                <w:numId w:val="0"/>
              </w:numPr>
              <w:kinsoku/>
              <w:wordWrap/>
              <w:overflowPunct/>
              <w:topLinePunct w:val="0"/>
              <w:autoSpaceDE/>
              <w:autoSpaceDN/>
              <w:bidi w:val="0"/>
              <w:adjustRightInd w:val="0"/>
              <w:snapToGrid w:val="0"/>
              <w:spacing w:line="240" w:lineRule="auto"/>
              <w:jc w:val="center"/>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-0.8067</w:t>
            </w:r>
          </w:p>
        </w:tc>
        <w:tc>
          <w:tcPr>
            <w:tcW w:w="1308" w:type="dxa"/>
            <w:vAlign w:val="center"/>
          </w:tcPr>
          <w:p w14:paraId="0210FE11">
            <w:pPr>
              <w:keepNext w:val="0"/>
              <w:keepLines w:val="0"/>
              <w:pageBreakBefore w:val="0"/>
              <w:numPr>
                <w:ilvl w:val="0"/>
                <w:numId w:val="0"/>
              </w:numPr>
              <w:kinsoku/>
              <w:wordWrap/>
              <w:overflowPunct/>
              <w:topLinePunct w:val="0"/>
              <w:autoSpaceDE/>
              <w:autoSpaceDN/>
              <w:bidi w:val="0"/>
              <w:adjustRightInd w:val="0"/>
              <w:snapToGrid w:val="0"/>
              <w:spacing w:line="240" w:lineRule="auto"/>
              <w:jc w:val="center"/>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-37.9</w:t>
            </w:r>
          </w:p>
        </w:tc>
        <w:tc>
          <w:tcPr>
            <w:tcW w:w="1308" w:type="dxa"/>
            <w:vAlign w:val="center"/>
          </w:tcPr>
          <w:p w14:paraId="66F8E582">
            <w:pPr>
              <w:keepNext w:val="0"/>
              <w:keepLines w:val="0"/>
              <w:pageBreakBefore w:val="0"/>
              <w:numPr>
                <w:ilvl w:val="0"/>
                <w:numId w:val="0"/>
              </w:numPr>
              <w:kinsoku/>
              <w:wordWrap/>
              <w:overflowPunct/>
              <w:topLinePunct w:val="0"/>
              <w:autoSpaceDE/>
              <w:autoSpaceDN/>
              <w:bidi w:val="0"/>
              <w:adjustRightInd w:val="0"/>
              <w:snapToGrid w:val="0"/>
              <w:spacing w:line="240" w:lineRule="auto"/>
              <w:jc w:val="center"/>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不属于</w:t>
            </w:r>
          </w:p>
        </w:tc>
      </w:tr>
      <w:tr w14:paraId="20DD2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7" w:type="dxa"/>
            <w:vMerge w:val="continue"/>
            <w:vAlign w:val="center"/>
          </w:tcPr>
          <w:p w14:paraId="4902964C">
            <w:pPr>
              <w:keepNext w:val="0"/>
              <w:keepLines w:val="0"/>
              <w:pageBreakBefore w:val="0"/>
              <w:numPr>
                <w:ilvl w:val="0"/>
                <w:numId w:val="0"/>
              </w:numPr>
              <w:kinsoku/>
              <w:wordWrap/>
              <w:overflowPunct/>
              <w:topLinePunct w:val="0"/>
              <w:autoSpaceDE/>
              <w:autoSpaceDN/>
              <w:bidi w:val="0"/>
              <w:adjustRightInd w:val="0"/>
              <w:snapToGrid w:val="0"/>
              <w:spacing w:line="240" w:lineRule="auto"/>
              <w:jc w:val="center"/>
              <w:rPr>
                <w:rFonts w:hint="eastAsia" w:ascii="Times New Roman" w:hAnsi="Times New Roman" w:cs="Times New Roman"/>
                <w:color w:val="auto"/>
                <w:sz w:val="21"/>
                <w:szCs w:val="21"/>
                <w:vertAlign w:val="baseline"/>
                <w:lang w:val="en-US" w:eastAsia="zh-CN"/>
              </w:rPr>
            </w:pPr>
          </w:p>
        </w:tc>
        <w:tc>
          <w:tcPr>
            <w:tcW w:w="1307" w:type="dxa"/>
            <w:shd w:val="clear" w:color="auto" w:fill="auto"/>
            <w:vAlign w:val="center"/>
          </w:tcPr>
          <w:p w14:paraId="0B1CA225">
            <w:pPr>
              <w:keepNext w:val="0"/>
              <w:keepLines w:val="0"/>
              <w:pageBreakBefore w:val="0"/>
              <w:kinsoku/>
              <w:wordWrap/>
              <w:overflowPunct/>
              <w:topLinePunct w:val="0"/>
              <w:autoSpaceDE/>
              <w:autoSpaceDN/>
              <w:bidi w:val="0"/>
              <w:spacing w:line="240" w:lineRule="auto"/>
              <w:jc w:val="center"/>
              <w:rPr>
                <w:rFonts w:hint="eastAsia"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SO</w:t>
            </w:r>
            <w:r>
              <w:rPr>
                <w:rFonts w:hint="default" w:ascii="Times New Roman" w:hAnsi="Times New Roman" w:eastAsia="宋体" w:cs="Times New Roman"/>
                <w:color w:val="auto"/>
                <w:sz w:val="21"/>
                <w:szCs w:val="21"/>
                <w:highlight w:val="none"/>
                <w:vertAlign w:val="subscript"/>
              </w:rPr>
              <w:t>2</w:t>
            </w:r>
          </w:p>
        </w:tc>
        <w:tc>
          <w:tcPr>
            <w:tcW w:w="1307" w:type="dxa"/>
            <w:shd w:val="clear" w:color="auto" w:fill="auto"/>
            <w:vAlign w:val="center"/>
          </w:tcPr>
          <w:p w14:paraId="307E603F">
            <w:pPr>
              <w:keepNext w:val="0"/>
              <w:keepLines w:val="0"/>
              <w:pageBreakBefore w:val="0"/>
              <w:kinsoku/>
              <w:wordWrap/>
              <w:overflowPunct/>
              <w:topLinePunct w:val="0"/>
              <w:autoSpaceDE/>
              <w:autoSpaceDN/>
              <w:bidi w:val="0"/>
              <w:spacing w:line="240" w:lineRule="auto"/>
              <w:jc w:val="center"/>
              <w:rPr>
                <w:rFonts w:hint="eastAsia"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0.098</w:t>
            </w:r>
          </w:p>
        </w:tc>
        <w:tc>
          <w:tcPr>
            <w:tcW w:w="1307" w:type="dxa"/>
            <w:shd w:val="clear" w:color="auto" w:fill="auto"/>
            <w:vAlign w:val="center"/>
          </w:tcPr>
          <w:p w14:paraId="7B79546D">
            <w:pPr>
              <w:keepNext w:val="0"/>
              <w:keepLines w:val="0"/>
              <w:pageBreakBefore w:val="0"/>
              <w:kinsoku/>
              <w:wordWrap/>
              <w:overflowPunct/>
              <w:topLinePunct w:val="0"/>
              <w:autoSpaceDE/>
              <w:autoSpaceDN/>
              <w:bidi w:val="0"/>
              <w:spacing w:line="240" w:lineRule="auto"/>
              <w:jc w:val="center"/>
              <w:rPr>
                <w:rFonts w:hint="eastAsia"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0.098</w:t>
            </w:r>
          </w:p>
        </w:tc>
        <w:tc>
          <w:tcPr>
            <w:tcW w:w="1307" w:type="dxa"/>
            <w:vAlign w:val="center"/>
          </w:tcPr>
          <w:p w14:paraId="6514847B">
            <w:pPr>
              <w:keepNext w:val="0"/>
              <w:keepLines w:val="0"/>
              <w:pageBreakBefore w:val="0"/>
              <w:numPr>
                <w:ilvl w:val="0"/>
                <w:numId w:val="0"/>
              </w:numPr>
              <w:kinsoku/>
              <w:wordWrap/>
              <w:overflowPunct/>
              <w:topLinePunct w:val="0"/>
              <w:autoSpaceDE/>
              <w:autoSpaceDN/>
              <w:bidi w:val="0"/>
              <w:adjustRightInd w:val="0"/>
              <w:snapToGrid w:val="0"/>
              <w:spacing w:line="240" w:lineRule="auto"/>
              <w:jc w:val="center"/>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0</w:t>
            </w:r>
          </w:p>
        </w:tc>
        <w:tc>
          <w:tcPr>
            <w:tcW w:w="1308" w:type="dxa"/>
            <w:shd w:val="clear" w:color="auto" w:fill="auto"/>
            <w:vAlign w:val="center"/>
          </w:tcPr>
          <w:p w14:paraId="39F0886B">
            <w:pPr>
              <w:keepNext w:val="0"/>
              <w:keepLines w:val="0"/>
              <w:pageBreakBefore w:val="0"/>
              <w:numPr>
                <w:ilvl w:val="0"/>
                <w:numId w:val="0"/>
              </w:numPr>
              <w:kinsoku/>
              <w:wordWrap/>
              <w:overflowPunct/>
              <w:topLinePunct w:val="0"/>
              <w:autoSpaceDE/>
              <w:autoSpaceDN/>
              <w:bidi w:val="0"/>
              <w:adjustRightInd w:val="0"/>
              <w:snapToGrid w:val="0"/>
              <w:spacing w:line="240" w:lineRule="auto"/>
              <w:ind w:left="0" w:leftChars="0" w:firstLine="0" w:firstLineChars="0"/>
              <w:jc w:val="center"/>
              <w:rPr>
                <w:rFonts w:hint="eastAsia" w:ascii="Times New Roman" w:hAnsi="Times New Roman" w:cs="Times New Roman" w:eastAsiaTheme="minorEastAsia"/>
                <w:color w:val="auto"/>
                <w:kern w:val="2"/>
                <w:sz w:val="21"/>
                <w:szCs w:val="21"/>
                <w:vertAlign w:val="baseline"/>
                <w:lang w:val="en-US" w:eastAsia="zh-CN" w:bidi="ar-SA"/>
              </w:rPr>
            </w:pPr>
            <w:r>
              <w:rPr>
                <w:rFonts w:hint="eastAsia" w:ascii="Times New Roman" w:hAnsi="Times New Roman" w:cs="Times New Roman"/>
                <w:color w:val="auto"/>
                <w:sz w:val="21"/>
                <w:szCs w:val="21"/>
                <w:vertAlign w:val="baseline"/>
                <w:lang w:val="en-US" w:eastAsia="zh-CN"/>
              </w:rPr>
              <w:t>0</w:t>
            </w:r>
          </w:p>
        </w:tc>
        <w:tc>
          <w:tcPr>
            <w:tcW w:w="1308" w:type="dxa"/>
            <w:vAlign w:val="center"/>
          </w:tcPr>
          <w:p w14:paraId="386450D6">
            <w:pPr>
              <w:keepNext w:val="0"/>
              <w:keepLines w:val="0"/>
              <w:pageBreakBefore w:val="0"/>
              <w:numPr>
                <w:ilvl w:val="0"/>
                <w:numId w:val="0"/>
              </w:numPr>
              <w:kinsoku/>
              <w:wordWrap/>
              <w:overflowPunct/>
              <w:topLinePunct w:val="0"/>
              <w:autoSpaceDE/>
              <w:autoSpaceDN/>
              <w:bidi w:val="0"/>
              <w:adjustRightInd w:val="0"/>
              <w:snapToGrid w:val="0"/>
              <w:spacing w:line="240" w:lineRule="auto"/>
              <w:jc w:val="center"/>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w:t>
            </w:r>
          </w:p>
        </w:tc>
      </w:tr>
      <w:tr w14:paraId="5D0F6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7" w:type="dxa"/>
            <w:vMerge w:val="continue"/>
            <w:vAlign w:val="center"/>
          </w:tcPr>
          <w:p w14:paraId="26C031C9">
            <w:pPr>
              <w:keepNext w:val="0"/>
              <w:keepLines w:val="0"/>
              <w:pageBreakBefore w:val="0"/>
              <w:numPr>
                <w:ilvl w:val="0"/>
                <w:numId w:val="0"/>
              </w:numPr>
              <w:kinsoku/>
              <w:wordWrap/>
              <w:overflowPunct/>
              <w:topLinePunct w:val="0"/>
              <w:autoSpaceDE/>
              <w:autoSpaceDN/>
              <w:bidi w:val="0"/>
              <w:adjustRightInd w:val="0"/>
              <w:snapToGrid w:val="0"/>
              <w:spacing w:line="240" w:lineRule="auto"/>
              <w:jc w:val="center"/>
              <w:rPr>
                <w:rFonts w:hint="eastAsia" w:ascii="Times New Roman" w:hAnsi="Times New Roman" w:cs="Times New Roman"/>
                <w:color w:val="auto"/>
                <w:sz w:val="21"/>
                <w:szCs w:val="21"/>
                <w:vertAlign w:val="baseline"/>
                <w:lang w:val="en-US" w:eastAsia="zh-CN"/>
              </w:rPr>
            </w:pPr>
          </w:p>
        </w:tc>
        <w:tc>
          <w:tcPr>
            <w:tcW w:w="1307" w:type="dxa"/>
            <w:shd w:val="clear" w:color="auto" w:fill="auto"/>
            <w:vAlign w:val="center"/>
          </w:tcPr>
          <w:p w14:paraId="1626D02B">
            <w:pPr>
              <w:keepNext w:val="0"/>
              <w:keepLines w:val="0"/>
              <w:pageBreakBefore w:val="0"/>
              <w:kinsoku/>
              <w:wordWrap/>
              <w:overflowPunct/>
              <w:topLinePunct w:val="0"/>
              <w:autoSpaceDE/>
              <w:autoSpaceDN/>
              <w:bidi w:val="0"/>
              <w:spacing w:line="240" w:lineRule="auto"/>
              <w:jc w:val="center"/>
              <w:rPr>
                <w:rFonts w:hint="eastAsia"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NO</w:t>
            </w:r>
            <w:r>
              <w:rPr>
                <w:rFonts w:hint="default" w:ascii="Times New Roman" w:hAnsi="Times New Roman" w:eastAsia="宋体" w:cs="Times New Roman"/>
                <w:color w:val="auto"/>
                <w:sz w:val="21"/>
                <w:szCs w:val="21"/>
                <w:highlight w:val="none"/>
                <w:vertAlign w:val="subscript"/>
              </w:rPr>
              <w:t>X</w:t>
            </w:r>
          </w:p>
        </w:tc>
        <w:tc>
          <w:tcPr>
            <w:tcW w:w="1307" w:type="dxa"/>
            <w:shd w:val="clear" w:color="auto" w:fill="auto"/>
            <w:vAlign w:val="center"/>
          </w:tcPr>
          <w:p w14:paraId="6CF8FACD">
            <w:pPr>
              <w:keepNext w:val="0"/>
              <w:keepLines w:val="0"/>
              <w:pageBreakBefore w:val="0"/>
              <w:kinsoku/>
              <w:wordWrap/>
              <w:overflowPunct/>
              <w:topLinePunct w:val="0"/>
              <w:autoSpaceDE/>
              <w:autoSpaceDN/>
              <w:bidi w:val="0"/>
              <w:spacing w:line="240" w:lineRule="auto"/>
              <w:jc w:val="center"/>
              <w:rPr>
                <w:rFonts w:hint="eastAsia"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2.1</w:t>
            </w:r>
          </w:p>
        </w:tc>
        <w:tc>
          <w:tcPr>
            <w:tcW w:w="1307" w:type="dxa"/>
            <w:shd w:val="clear" w:color="auto" w:fill="auto"/>
            <w:vAlign w:val="center"/>
          </w:tcPr>
          <w:p w14:paraId="6A81BC04">
            <w:pPr>
              <w:keepNext w:val="0"/>
              <w:keepLines w:val="0"/>
              <w:pageBreakBefore w:val="0"/>
              <w:kinsoku/>
              <w:wordWrap/>
              <w:overflowPunct/>
              <w:topLinePunct w:val="0"/>
              <w:autoSpaceDE/>
              <w:autoSpaceDN/>
              <w:bidi w:val="0"/>
              <w:spacing w:line="240" w:lineRule="auto"/>
              <w:jc w:val="center"/>
              <w:rPr>
                <w:rFonts w:hint="eastAsia"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2.1</w:t>
            </w:r>
          </w:p>
        </w:tc>
        <w:tc>
          <w:tcPr>
            <w:tcW w:w="1307" w:type="dxa"/>
            <w:vAlign w:val="center"/>
          </w:tcPr>
          <w:p w14:paraId="6B3339C9">
            <w:pPr>
              <w:keepNext w:val="0"/>
              <w:keepLines w:val="0"/>
              <w:pageBreakBefore w:val="0"/>
              <w:numPr>
                <w:ilvl w:val="0"/>
                <w:numId w:val="0"/>
              </w:numPr>
              <w:kinsoku/>
              <w:wordWrap/>
              <w:overflowPunct/>
              <w:topLinePunct w:val="0"/>
              <w:autoSpaceDE/>
              <w:autoSpaceDN/>
              <w:bidi w:val="0"/>
              <w:adjustRightInd w:val="0"/>
              <w:snapToGrid w:val="0"/>
              <w:spacing w:line="240" w:lineRule="auto"/>
              <w:jc w:val="center"/>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0</w:t>
            </w:r>
          </w:p>
        </w:tc>
        <w:tc>
          <w:tcPr>
            <w:tcW w:w="1308" w:type="dxa"/>
            <w:shd w:val="clear" w:color="auto" w:fill="auto"/>
            <w:vAlign w:val="center"/>
          </w:tcPr>
          <w:p w14:paraId="19E6AFB4">
            <w:pPr>
              <w:keepNext w:val="0"/>
              <w:keepLines w:val="0"/>
              <w:pageBreakBefore w:val="0"/>
              <w:numPr>
                <w:ilvl w:val="0"/>
                <w:numId w:val="0"/>
              </w:numPr>
              <w:kinsoku/>
              <w:wordWrap/>
              <w:overflowPunct/>
              <w:topLinePunct w:val="0"/>
              <w:autoSpaceDE/>
              <w:autoSpaceDN/>
              <w:bidi w:val="0"/>
              <w:adjustRightInd w:val="0"/>
              <w:snapToGrid w:val="0"/>
              <w:spacing w:line="240" w:lineRule="auto"/>
              <w:ind w:left="0" w:leftChars="0" w:firstLine="0" w:firstLineChars="0"/>
              <w:jc w:val="center"/>
              <w:rPr>
                <w:rFonts w:hint="eastAsia" w:ascii="Times New Roman" w:hAnsi="Times New Roman" w:cs="Times New Roman" w:eastAsiaTheme="minorEastAsia"/>
                <w:color w:val="auto"/>
                <w:kern w:val="2"/>
                <w:sz w:val="21"/>
                <w:szCs w:val="21"/>
                <w:vertAlign w:val="baseline"/>
                <w:lang w:val="en-US" w:eastAsia="zh-CN" w:bidi="ar-SA"/>
              </w:rPr>
            </w:pPr>
            <w:r>
              <w:rPr>
                <w:rFonts w:hint="eastAsia" w:ascii="Times New Roman" w:hAnsi="Times New Roman" w:cs="Times New Roman"/>
                <w:color w:val="auto"/>
                <w:sz w:val="21"/>
                <w:szCs w:val="21"/>
                <w:vertAlign w:val="baseline"/>
                <w:lang w:val="en-US" w:eastAsia="zh-CN"/>
              </w:rPr>
              <w:t>0</w:t>
            </w:r>
          </w:p>
        </w:tc>
        <w:tc>
          <w:tcPr>
            <w:tcW w:w="1308" w:type="dxa"/>
            <w:vAlign w:val="center"/>
          </w:tcPr>
          <w:p w14:paraId="68ACECFB">
            <w:pPr>
              <w:keepNext w:val="0"/>
              <w:keepLines w:val="0"/>
              <w:pageBreakBefore w:val="0"/>
              <w:numPr>
                <w:ilvl w:val="0"/>
                <w:numId w:val="0"/>
              </w:numPr>
              <w:kinsoku/>
              <w:wordWrap/>
              <w:overflowPunct/>
              <w:topLinePunct w:val="0"/>
              <w:autoSpaceDE/>
              <w:autoSpaceDN/>
              <w:bidi w:val="0"/>
              <w:adjustRightInd w:val="0"/>
              <w:snapToGrid w:val="0"/>
              <w:spacing w:line="240" w:lineRule="auto"/>
              <w:jc w:val="center"/>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w:t>
            </w:r>
          </w:p>
        </w:tc>
      </w:tr>
      <w:tr w14:paraId="21BFF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7" w:type="dxa"/>
            <w:vMerge w:val="continue"/>
            <w:vAlign w:val="center"/>
          </w:tcPr>
          <w:p w14:paraId="461ED799">
            <w:pPr>
              <w:keepNext w:val="0"/>
              <w:keepLines w:val="0"/>
              <w:pageBreakBefore w:val="0"/>
              <w:numPr>
                <w:ilvl w:val="0"/>
                <w:numId w:val="0"/>
              </w:numPr>
              <w:kinsoku/>
              <w:wordWrap/>
              <w:overflowPunct/>
              <w:topLinePunct w:val="0"/>
              <w:autoSpaceDE/>
              <w:autoSpaceDN/>
              <w:bidi w:val="0"/>
              <w:adjustRightInd w:val="0"/>
              <w:snapToGrid w:val="0"/>
              <w:spacing w:line="240" w:lineRule="auto"/>
              <w:jc w:val="center"/>
              <w:rPr>
                <w:rFonts w:hint="eastAsia" w:ascii="Times New Roman" w:hAnsi="Times New Roman" w:cs="Times New Roman"/>
                <w:color w:val="auto"/>
                <w:sz w:val="21"/>
                <w:szCs w:val="21"/>
                <w:vertAlign w:val="baseline"/>
                <w:lang w:val="en-US" w:eastAsia="zh-CN"/>
              </w:rPr>
            </w:pPr>
          </w:p>
        </w:tc>
        <w:tc>
          <w:tcPr>
            <w:tcW w:w="1307" w:type="dxa"/>
            <w:shd w:val="clear" w:color="auto" w:fill="auto"/>
            <w:vAlign w:val="center"/>
          </w:tcPr>
          <w:p w14:paraId="4CC8D85A">
            <w:pPr>
              <w:keepNext w:val="0"/>
              <w:keepLines w:val="0"/>
              <w:pageBreakBefore w:val="0"/>
              <w:kinsoku/>
              <w:wordWrap/>
              <w:overflowPunct/>
              <w:topLinePunct w:val="0"/>
              <w:autoSpaceDE/>
              <w:autoSpaceDN/>
              <w:bidi w:val="0"/>
              <w:spacing w:line="240" w:lineRule="auto"/>
              <w:jc w:val="center"/>
              <w:rPr>
                <w:rFonts w:hint="eastAsia"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氨</w:t>
            </w:r>
          </w:p>
        </w:tc>
        <w:tc>
          <w:tcPr>
            <w:tcW w:w="1307" w:type="dxa"/>
            <w:shd w:val="clear" w:color="auto" w:fill="auto"/>
            <w:vAlign w:val="center"/>
          </w:tcPr>
          <w:p w14:paraId="030BE77F">
            <w:pPr>
              <w:keepNext w:val="0"/>
              <w:keepLines w:val="0"/>
              <w:pageBreakBefore w:val="0"/>
              <w:kinsoku/>
              <w:wordWrap/>
              <w:overflowPunct/>
              <w:topLinePunct w:val="0"/>
              <w:autoSpaceDE/>
              <w:autoSpaceDN/>
              <w:bidi w:val="0"/>
              <w:spacing w:line="240" w:lineRule="auto"/>
              <w:jc w:val="center"/>
              <w:rPr>
                <w:rFonts w:hint="eastAsia"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0.3771</w:t>
            </w:r>
          </w:p>
        </w:tc>
        <w:tc>
          <w:tcPr>
            <w:tcW w:w="1307" w:type="dxa"/>
            <w:shd w:val="clear" w:color="auto" w:fill="auto"/>
            <w:vAlign w:val="center"/>
          </w:tcPr>
          <w:p w14:paraId="572FE1DA">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0.2353</w:t>
            </w:r>
          </w:p>
        </w:tc>
        <w:tc>
          <w:tcPr>
            <w:tcW w:w="1307" w:type="dxa"/>
            <w:vAlign w:val="center"/>
          </w:tcPr>
          <w:p w14:paraId="13527A04">
            <w:pPr>
              <w:keepNext w:val="0"/>
              <w:keepLines w:val="0"/>
              <w:pageBreakBefore w:val="0"/>
              <w:numPr>
                <w:ilvl w:val="0"/>
                <w:numId w:val="0"/>
              </w:numPr>
              <w:kinsoku/>
              <w:wordWrap/>
              <w:overflowPunct/>
              <w:topLinePunct w:val="0"/>
              <w:autoSpaceDE/>
              <w:autoSpaceDN/>
              <w:bidi w:val="0"/>
              <w:adjustRightInd w:val="0"/>
              <w:snapToGrid w:val="0"/>
              <w:spacing w:line="240" w:lineRule="auto"/>
              <w:jc w:val="center"/>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-0.1418</w:t>
            </w:r>
          </w:p>
        </w:tc>
        <w:tc>
          <w:tcPr>
            <w:tcW w:w="1308" w:type="dxa"/>
            <w:shd w:val="clear" w:color="auto" w:fill="auto"/>
            <w:vAlign w:val="center"/>
          </w:tcPr>
          <w:p w14:paraId="4D09FE54">
            <w:pPr>
              <w:keepNext w:val="0"/>
              <w:keepLines w:val="0"/>
              <w:pageBreakBefore w:val="0"/>
              <w:numPr>
                <w:ilvl w:val="0"/>
                <w:numId w:val="0"/>
              </w:numPr>
              <w:kinsoku/>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cs="Times New Roman" w:eastAsiaTheme="minorEastAsia"/>
                <w:color w:val="auto"/>
                <w:kern w:val="2"/>
                <w:sz w:val="21"/>
                <w:szCs w:val="21"/>
                <w:vertAlign w:val="baseline"/>
                <w:lang w:val="en-US" w:eastAsia="zh-CN" w:bidi="ar-SA"/>
              </w:rPr>
            </w:pPr>
            <w:r>
              <w:rPr>
                <w:rFonts w:hint="eastAsia" w:ascii="Times New Roman" w:hAnsi="Times New Roman" w:cs="Times New Roman"/>
                <w:color w:val="auto"/>
                <w:sz w:val="21"/>
                <w:szCs w:val="21"/>
                <w:vertAlign w:val="baseline"/>
                <w:lang w:val="en-US" w:eastAsia="zh-CN"/>
              </w:rPr>
              <w:t>-37.6</w:t>
            </w:r>
          </w:p>
        </w:tc>
        <w:tc>
          <w:tcPr>
            <w:tcW w:w="1308" w:type="dxa"/>
            <w:shd w:val="clear" w:color="auto" w:fill="auto"/>
            <w:vAlign w:val="center"/>
          </w:tcPr>
          <w:p w14:paraId="7CE04863">
            <w:pPr>
              <w:keepNext w:val="0"/>
              <w:keepLines w:val="0"/>
              <w:pageBreakBefore w:val="0"/>
              <w:numPr>
                <w:ilvl w:val="0"/>
                <w:numId w:val="0"/>
              </w:numPr>
              <w:kinsoku/>
              <w:wordWrap/>
              <w:overflowPunct/>
              <w:topLinePunct w:val="0"/>
              <w:autoSpaceDE/>
              <w:autoSpaceDN/>
              <w:bidi w:val="0"/>
              <w:adjustRightInd w:val="0"/>
              <w:snapToGrid w:val="0"/>
              <w:spacing w:line="240" w:lineRule="auto"/>
              <w:ind w:left="0" w:leftChars="0" w:firstLine="0" w:firstLineChars="0"/>
              <w:jc w:val="center"/>
              <w:rPr>
                <w:rFonts w:hint="eastAsia" w:ascii="Times New Roman" w:hAnsi="Times New Roman" w:cs="Times New Roman" w:eastAsiaTheme="minorEastAsia"/>
                <w:color w:val="auto"/>
                <w:kern w:val="2"/>
                <w:sz w:val="21"/>
                <w:szCs w:val="21"/>
                <w:vertAlign w:val="baseline"/>
                <w:lang w:val="en-US" w:eastAsia="zh-CN" w:bidi="ar-SA"/>
              </w:rPr>
            </w:pPr>
            <w:r>
              <w:rPr>
                <w:rFonts w:hint="eastAsia" w:ascii="Times New Roman" w:hAnsi="Times New Roman" w:cs="Times New Roman"/>
                <w:color w:val="auto"/>
                <w:sz w:val="21"/>
                <w:szCs w:val="21"/>
                <w:vertAlign w:val="baseline"/>
                <w:lang w:val="en-US" w:eastAsia="zh-CN"/>
              </w:rPr>
              <w:t>不属于</w:t>
            </w:r>
          </w:p>
        </w:tc>
      </w:tr>
      <w:tr w14:paraId="20A43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7" w:type="dxa"/>
            <w:vMerge w:val="continue"/>
            <w:vAlign w:val="center"/>
          </w:tcPr>
          <w:p w14:paraId="0053A491">
            <w:pPr>
              <w:keepNext w:val="0"/>
              <w:keepLines w:val="0"/>
              <w:pageBreakBefore w:val="0"/>
              <w:numPr>
                <w:ilvl w:val="0"/>
                <w:numId w:val="0"/>
              </w:numPr>
              <w:kinsoku/>
              <w:wordWrap/>
              <w:overflowPunct/>
              <w:topLinePunct w:val="0"/>
              <w:autoSpaceDE/>
              <w:autoSpaceDN/>
              <w:bidi w:val="0"/>
              <w:adjustRightInd w:val="0"/>
              <w:snapToGrid w:val="0"/>
              <w:spacing w:line="240" w:lineRule="auto"/>
              <w:jc w:val="center"/>
              <w:rPr>
                <w:rFonts w:hint="eastAsia" w:ascii="Times New Roman" w:hAnsi="Times New Roman" w:cs="Times New Roman"/>
                <w:color w:val="auto"/>
                <w:sz w:val="21"/>
                <w:szCs w:val="21"/>
                <w:vertAlign w:val="baseline"/>
                <w:lang w:val="en-US" w:eastAsia="zh-CN"/>
              </w:rPr>
            </w:pPr>
          </w:p>
        </w:tc>
        <w:tc>
          <w:tcPr>
            <w:tcW w:w="1307" w:type="dxa"/>
            <w:shd w:val="clear" w:color="auto" w:fill="auto"/>
            <w:vAlign w:val="center"/>
          </w:tcPr>
          <w:p w14:paraId="1DBD7ED6">
            <w:pPr>
              <w:keepNext w:val="0"/>
              <w:keepLines w:val="0"/>
              <w:pageBreakBefore w:val="0"/>
              <w:kinsoku/>
              <w:wordWrap/>
              <w:overflowPunct/>
              <w:topLinePunct w:val="0"/>
              <w:autoSpaceDE/>
              <w:autoSpaceDN/>
              <w:bidi w:val="0"/>
              <w:spacing w:line="240" w:lineRule="auto"/>
              <w:jc w:val="center"/>
              <w:rPr>
                <w:rFonts w:hint="eastAsia"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非甲烷总烃</w:t>
            </w:r>
          </w:p>
        </w:tc>
        <w:tc>
          <w:tcPr>
            <w:tcW w:w="1307" w:type="dxa"/>
            <w:shd w:val="clear" w:color="auto" w:fill="auto"/>
            <w:vAlign w:val="center"/>
          </w:tcPr>
          <w:p w14:paraId="0A24043A">
            <w:pPr>
              <w:keepNext w:val="0"/>
              <w:keepLines w:val="0"/>
              <w:pageBreakBefore w:val="0"/>
              <w:kinsoku/>
              <w:wordWrap/>
              <w:overflowPunct/>
              <w:topLinePunct w:val="0"/>
              <w:autoSpaceDE/>
              <w:autoSpaceDN/>
              <w:bidi w:val="0"/>
              <w:spacing w:line="240" w:lineRule="auto"/>
              <w:jc w:val="center"/>
              <w:rPr>
                <w:rFonts w:hint="eastAsia"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0.6</w:t>
            </w:r>
          </w:p>
        </w:tc>
        <w:tc>
          <w:tcPr>
            <w:tcW w:w="1307" w:type="dxa"/>
            <w:shd w:val="clear" w:color="auto" w:fill="auto"/>
            <w:vAlign w:val="center"/>
          </w:tcPr>
          <w:p w14:paraId="63CD05E0">
            <w:pPr>
              <w:keepNext w:val="0"/>
              <w:keepLines w:val="0"/>
              <w:pageBreakBefore w:val="0"/>
              <w:kinsoku/>
              <w:wordWrap/>
              <w:overflowPunct/>
              <w:topLinePunct w:val="0"/>
              <w:autoSpaceDE/>
              <w:autoSpaceDN/>
              <w:bidi w:val="0"/>
              <w:spacing w:line="240" w:lineRule="auto"/>
              <w:jc w:val="center"/>
              <w:rPr>
                <w:rFonts w:hint="eastAsia"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0.6</w:t>
            </w:r>
          </w:p>
        </w:tc>
        <w:tc>
          <w:tcPr>
            <w:tcW w:w="1307" w:type="dxa"/>
            <w:vAlign w:val="center"/>
          </w:tcPr>
          <w:p w14:paraId="5B535FC8">
            <w:pPr>
              <w:keepNext w:val="0"/>
              <w:keepLines w:val="0"/>
              <w:pageBreakBefore w:val="0"/>
              <w:numPr>
                <w:ilvl w:val="0"/>
                <w:numId w:val="0"/>
              </w:numPr>
              <w:kinsoku/>
              <w:wordWrap/>
              <w:overflowPunct/>
              <w:topLinePunct w:val="0"/>
              <w:autoSpaceDE/>
              <w:autoSpaceDN/>
              <w:bidi w:val="0"/>
              <w:adjustRightInd w:val="0"/>
              <w:snapToGrid w:val="0"/>
              <w:spacing w:line="240" w:lineRule="auto"/>
              <w:jc w:val="center"/>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0</w:t>
            </w:r>
          </w:p>
        </w:tc>
        <w:tc>
          <w:tcPr>
            <w:tcW w:w="1308" w:type="dxa"/>
            <w:shd w:val="clear" w:color="auto" w:fill="auto"/>
            <w:vAlign w:val="center"/>
          </w:tcPr>
          <w:p w14:paraId="05615EC4">
            <w:pPr>
              <w:keepNext w:val="0"/>
              <w:keepLines w:val="0"/>
              <w:pageBreakBefore w:val="0"/>
              <w:numPr>
                <w:ilvl w:val="0"/>
                <w:numId w:val="0"/>
              </w:numPr>
              <w:kinsoku/>
              <w:wordWrap/>
              <w:overflowPunct/>
              <w:topLinePunct w:val="0"/>
              <w:autoSpaceDE/>
              <w:autoSpaceDN/>
              <w:bidi w:val="0"/>
              <w:adjustRightInd w:val="0"/>
              <w:snapToGrid w:val="0"/>
              <w:spacing w:line="240" w:lineRule="auto"/>
              <w:ind w:left="0" w:leftChars="0" w:firstLine="0" w:firstLineChars="0"/>
              <w:jc w:val="center"/>
              <w:rPr>
                <w:rFonts w:hint="eastAsia" w:ascii="Times New Roman" w:hAnsi="Times New Roman" w:cs="Times New Roman" w:eastAsiaTheme="minorEastAsia"/>
                <w:color w:val="auto"/>
                <w:kern w:val="2"/>
                <w:sz w:val="21"/>
                <w:szCs w:val="21"/>
                <w:vertAlign w:val="baseline"/>
                <w:lang w:val="en-US" w:eastAsia="zh-CN" w:bidi="ar-SA"/>
              </w:rPr>
            </w:pPr>
            <w:r>
              <w:rPr>
                <w:rFonts w:hint="eastAsia" w:ascii="Times New Roman" w:hAnsi="Times New Roman" w:cs="Times New Roman"/>
                <w:color w:val="auto"/>
                <w:sz w:val="21"/>
                <w:szCs w:val="21"/>
                <w:vertAlign w:val="baseline"/>
                <w:lang w:val="en-US" w:eastAsia="zh-CN"/>
              </w:rPr>
              <w:t>0</w:t>
            </w:r>
          </w:p>
        </w:tc>
        <w:tc>
          <w:tcPr>
            <w:tcW w:w="1308" w:type="dxa"/>
            <w:shd w:val="clear" w:color="auto" w:fill="auto"/>
            <w:vAlign w:val="center"/>
          </w:tcPr>
          <w:p w14:paraId="14D35DE0">
            <w:pPr>
              <w:keepNext w:val="0"/>
              <w:keepLines w:val="0"/>
              <w:pageBreakBefore w:val="0"/>
              <w:numPr>
                <w:ilvl w:val="0"/>
                <w:numId w:val="0"/>
              </w:numPr>
              <w:kinsoku/>
              <w:wordWrap/>
              <w:overflowPunct/>
              <w:topLinePunct w:val="0"/>
              <w:autoSpaceDE/>
              <w:autoSpaceDN/>
              <w:bidi w:val="0"/>
              <w:adjustRightInd w:val="0"/>
              <w:snapToGrid w:val="0"/>
              <w:spacing w:line="240" w:lineRule="auto"/>
              <w:ind w:left="0" w:leftChars="0" w:firstLine="0" w:firstLineChars="0"/>
              <w:jc w:val="center"/>
              <w:rPr>
                <w:rFonts w:hint="eastAsia" w:ascii="Times New Roman" w:hAnsi="Times New Roman" w:cs="Times New Roman" w:eastAsiaTheme="minorEastAsia"/>
                <w:color w:val="auto"/>
                <w:kern w:val="2"/>
                <w:sz w:val="21"/>
                <w:szCs w:val="21"/>
                <w:vertAlign w:val="baseline"/>
                <w:lang w:val="en-US" w:eastAsia="zh-CN" w:bidi="ar-SA"/>
              </w:rPr>
            </w:pPr>
            <w:r>
              <w:rPr>
                <w:rFonts w:hint="eastAsia" w:ascii="Times New Roman" w:hAnsi="Times New Roman" w:cs="Times New Roman"/>
                <w:color w:val="auto"/>
                <w:sz w:val="21"/>
                <w:szCs w:val="21"/>
                <w:vertAlign w:val="baseline"/>
                <w:lang w:val="en-US" w:eastAsia="zh-CN"/>
              </w:rPr>
              <w:t>/</w:t>
            </w:r>
          </w:p>
        </w:tc>
      </w:tr>
      <w:tr w14:paraId="4D412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7" w:type="dxa"/>
            <w:vMerge w:val="continue"/>
            <w:vAlign w:val="center"/>
          </w:tcPr>
          <w:p w14:paraId="32888B65">
            <w:pPr>
              <w:keepNext w:val="0"/>
              <w:keepLines w:val="0"/>
              <w:pageBreakBefore w:val="0"/>
              <w:numPr>
                <w:ilvl w:val="0"/>
                <w:numId w:val="0"/>
              </w:numPr>
              <w:kinsoku/>
              <w:wordWrap/>
              <w:overflowPunct/>
              <w:topLinePunct w:val="0"/>
              <w:autoSpaceDE/>
              <w:autoSpaceDN/>
              <w:bidi w:val="0"/>
              <w:adjustRightInd w:val="0"/>
              <w:snapToGrid w:val="0"/>
              <w:spacing w:line="240" w:lineRule="auto"/>
              <w:jc w:val="center"/>
              <w:rPr>
                <w:rFonts w:hint="eastAsia" w:ascii="Times New Roman" w:hAnsi="Times New Roman" w:cs="Times New Roman"/>
                <w:color w:val="auto"/>
                <w:sz w:val="21"/>
                <w:szCs w:val="21"/>
                <w:vertAlign w:val="baseline"/>
                <w:lang w:val="en-US" w:eastAsia="zh-CN"/>
              </w:rPr>
            </w:pPr>
          </w:p>
        </w:tc>
        <w:tc>
          <w:tcPr>
            <w:tcW w:w="1307" w:type="dxa"/>
            <w:shd w:val="clear" w:color="auto" w:fill="auto"/>
            <w:vAlign w:val="center"/>
          </w:tcPr>
          <w:p w14:paraId="59E8C49B">
            <w:pPr>
              <w:keepNext w:val="0"/>
              <w:keepLines w:val="0"/>
              <w:pageBreakBefore w:val="0"/>
              <w:kinsoku/>
              <w:wordWrap/>
              <w:overflowPunct/>
              <w:topLinePunct w:val="0"/>
              <w:autoSpaceDE/>
              <w:autoSpaceDN/>
              <w:bidi w:val="0"/>
              <w:spacing w:line="240" w:lineRule="auto"/>
              <w:jc w:val="center"/>
              <w:rPr>
                <w:rFonts w:hint="eastAsia"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硫酸雾</w:t>
            </w:r>
          </w:p>
        </w:tc>
        <w:tc>
          <w:tcPr>
            <w:tcW w:w="1307" w:type="dxa"/>
            <w:shd w:val="clear" w:color="auto" w:fill="auto"/>
            <w:vAlign w:val="center"/>
          </w:tcPr>
          <w:p w14:paraId="6D99CFCF">
            <w:pPr>
              <w:keepNext w:val="0"/>
              <w:keepLines w:val="0"/>
              <w:pageBreakBefore w:val="0"/>
              <w:kinsoku/>
              <w:wordWrap/>
              <w:overflowPunct/>
              <w:topLinePunct w:val="0"/>
              <w:autoSpaceDE/>
              <w:autoSpaceDN/>
              <w:bidi w:val="0"/>
              <w:spacing w:line="240" w:lineRule="auto"/>
              <w:jc w:val="center"/>
              <w:rPr>
                <w:rFonts w:hint="eastAsia"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0.0667</w:t>
            </w:r>
          </w:p>
        </w:tc>
        <w:tc>
          <w:tcPr>
            <w:tcW w:w="1307" w:type="dxa"/>
            <w:shd w:val="clear" w:color="auto" w:fill="auto"/>
            <w:vAlign w:val="center"/>
          </w:tcPr>
          <w:p w14:paraId="2691BC4C">
            <w:pPr>
              <w:keepNext w:val="0"/>
              <w:keepLines w:val="0"/>
              <w:pageBreakBefore w:val="0"/>
              <w:kinsoku/>
              <w:wordWrap/>
              <w:overflowPunct/>
              <w:topLinePunct w:val="0"/>
              <w:autoSpaceDE/>
              <w:autoSpaceDN/>
              <w:bidi w:val="0"/>
              <w:spacing w:line="240" w:lineRule="auto"/>
              <w:jc w:val="center"/>
              <w:rPr>
                <w:rFonts w:hint="eastAsia"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0.0667</w:t>
            </w:r>
          </w:p>
        </w:tc>
        <w:tc>
          <w:tcPr>
            <w:tcW w:w="1307" w:type="dxa"/>
            <w:vAlign w:val="center"/>
          </w:tcPr>
          <w:p w14:paraId="1440883C">
            <w:pPr>
              <w:keepNext w:val="0"/>
              <w:keepLines w:val="0"/>
              <w:pageBreakBefore w:val="0"/>
              <w:numPr>
                <w:ilvl w:val="0"/>
                <w:numId w:val="0"/>
              </w:numPr>
              <w:kinsoku/>
              <w:wordWrap/>
              <w:overflowPunct/>
              <w:topLinePunct w:val="0"/>
              <w:autoSpaceDE/>
              <w:autoSpaceDN/>
              <w:bidi w:val="0"/>
              <w:adjustRightInd w:val="0"/>
              <w:snapToGrid w:val="0"/>
              <w:spacing w:line="240" w:lineRule="auto"/>
              <w:jc w:val="center"/>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0</w:t>
            </w:r>
          </w:p>
        </w:tc>
        <w:tc>
          <w:tcPr>
            <w:tcW w:w="1308" w:type="dxa"/>
            <w:shd w:val="clear" w:color="auto" w:fill="auto"/>
            <w:vAlign w:val="center"/>
          </w:tcPr>
          <w:p w14:paraId="5A63C6E8">
            <w:pPr>
              <w:keepNext w:val="0"/>
              <w:keepLines w:val="0"/>
              <w:pageBreakBefore w:val="0"/>
              <w:numPr>
                <w:ilvl w:val="0"/>
                <w:numId w:val="0"/>
              </w:numPr>
              <w:kinsoku/>
              <w:wordWrap/>
              <w:overflowPunct/>
              <w:topLinePunct w:val="0"/>
              <w:autoSpaceDE/>
              <w:autoSpaceDN/>
              <w:bidi w:val="0"/>
              <w:adjustRightInd w:val="0"/>
              <w:snapToGrid w:val="0"/>
              <w:spacing w:line="240" w:lineRule="auto"/>
              <w:ind w:left="0" w:leftChars="0" w:firstLine="0" w:firstLineChars="0"/>
              <w:jc w:val="center"/>
              <w:rPr>
                <w:rFonts w:hint="eastAsia" w:ascii="Times New Roman" w:hAnsi="Times New Roman" w:cs="Times New Roman" w:eastAsiaTheme="minorEastAsia"/>
                <w:color w:val="auto"/>
                <w:kern w:val="2"/>
                <w:sz w:val="21"/>
                <w:szCs w:val="21"/>
                <w:vertAlign w:val="baseline"/>
                <w:lang w:val="en-US" w:eastAsia="zh-CN" w:bidi="ar-SA"/>
              </w:rPr>
            </w:pPr>
            <w:r>
              <w:rPr>
                <w:rFonts w:hint="eastAsia" w:ascii="Times New Roman" w:hAnsi="Times New Roman" w:cs="Times New Roman"/>
                <w:color w:val="auto"/>
                <w:sz w:val="21"/>
                <w:szCs w:val="21"/>
                <w:vertAlign w:val="baseline"/>
                <w:lang w:val="en-US" w:eastAsia="zh-CN"/>
              </w:rPr>
              <w:t>0</w:t>
            </w:r>
          </w:p>
        </w:tc>
        <w:tc>
          <w:tcPr>
            <w:tcW w:w="1308" w:type="dxa"/>
            <w:shd w:val="clear" w:color="auto" w:fill="auto"/>
            <w:vAlign w:val="center"/>
          </w:tcPr>
          <w:p w14:paraId="1DBD8F3B">
            <w:pPr>
              <w:keepNext w:val="0"/>
              <w:keepLines w:val="0"/>
              <w:pageBreakBefore w:val="0"/>
              <w:numPr>
                <w:ilvl w:val="0"/>
                <w:numId w:val="0"/>
              </w:numPr>
              <w:kinsoku/>
              <w:wordWrap/>
              <w:overflowPunct/>
              <w:topLinePunct w:val="0"/>
              <w:autoSpaceDE/>
              <w:autoSpaceDN/>
              <w:bidi w:val="0"/>
              <w:adjustRightInd w:val="0"/>
              <w:snapToGrid w:val="0"/>
              <w:spacing w:line="240" w:lineRule="auto"/>
              <w:ind w:left="0" w:leftChars="0" w:firstLine="0" w:firstLineChars="0"/>
              <w:jc w:val="center"/>
              <w:rPr>
                <w:rFonts w:hint="eastAsia" w:ascii="Times New Roman" w:hAnsi="Times New Roman" w:cs="Times New Roman" w:eastAsiaTheme="minorEastAsia"/>
                <w:color w:val="auto"/>
                <w:kern w:val="2"/>
                <w:sz w:val="21"/>
                <w:szCs w:val="21"/>
                <w:vertAlign w:val="baseline"/>
                <w:lang w:val="en-US" w:eastAsia="zh-CN" w:bidi="ar-SA"/>
              </w:rPr>
            </w:pPr>
            <w:r>
              <w:rPr>
                <w:rFonts w:hint="eastAsia" w:ascii="Times New Roman" w:hAnsi="Times New Roman" w:cs="Times New Roman"/>
                <w:color w:val="auto"/>
                <w:sz w:val="21"/>
                <w:szCs w:val="21"/>
                <w:vertAlign w:val="baseline"/>
                <w:lang w:val="en-US" w:eastAsia="zh-CN"/>
              </w:rPr>
              <w:t>/</w:t>
            </w:r>
          </w:p>
        </w:tc>
      </w:tr>
      <w:tr w14:paraId="04406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7" w:type="dxa"/>
            <w:vMerge w:val="restart"/>
            <w:vAlign w:val="center"/>
          </w:tcPr>
          <w:p w14:paraId="4470F630">
            <w:pPr>
              <w:keepNext w:val="0"/>
              <w:keepLines w:val="0"/>
              <w:pageBreakBefore w:val="0"/>
              <w:numPr>
                <w:ilvl w:val="0"/>
                <w:numId w:val="0"/>
              </w:numPr>
              <w:kinsoku/>
              <w:wordWrap/>
              <w:overflowPunct/>
              <w:topLinePunct w:val="0"/>
              <w:autoSpaceDE/>
              <w:autoSpaceDN/>
              <w:bidi w:val="0"/>
              <w:adjustRightInd w:val="0"/>
              <w:snapToGrid w:val="0"/>
              <w:spacing w:line="240" w:lineRule="auto"/>
              <w:jc w:val="center"/>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无组织</w:t>
            </w:r>
          </w:p>
        </w:tc>
        <w:tc>
          <w:tcPr>
            <w:tcW w:w="1307" w:type="dxa"/>
            <w:shd w:val="clear" w:color="auto" w:fill="auto"/>
            <w:vAlign w:val="center"/>
          </w:tcPr>
          <w:p w14:paraId="4D338416">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颗粒物</w:t>
            </w:r>
          </w:p>
        </w:tc>
        <w:tc>
          <w:tcPr>
            <w:tcW w:w="1307" w:type="dxa"/>
            <w:shd w:val="clear" w:color="auto" w:fill="auto"/>
            <w:vAlign w:val="center"/>
          </w:tcPr>
          <w:p w14:paraId="27575A2D">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1.184</w:t>
            </w:r>
          </w:p>
        </w:tc>
        <w:tc>
          <w:tcPr>
            <w:tcW w:w="1307" w:type="dxa"/>
            <w:shd w:val="clear" w:color="auto" w:fill="auto"/>
            <w:vAlign w:val="center"/>
          </w:tcPr>
          <w:p w14:paraId="16A200AB">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0.8915</w:t>
            </w:r>
          </w:p>
        </w:tc>
        <w:tc>
          <w:tcPr>
            <w:tcW w:w="1307" w:type="dxa"/>
            <w:vAlign w:val="center"/>
          </w:tcPr>
          <w:p w14:paraId="0DD6C1AE">
            <w:pPr>
              <w:keepNext w:val="0"/>
              <w:keepLines w:val="0"/>
              <w:pageBreakBefore w:val="0"/>
              <w:numPr>
                <w:ilvl w:val="0"/>
                <w:numId w:val="0"/>
              </w:numPr>
              <w:kinsoku/>
              <w:wordWrap/>
              <w:overflowPunct/>
              <w:topLinePunct w:val="0"/>
              <w:autoSpaceDE/>
              <w:autoSpaceDN/>
              <w:bidi w:val="0"/>
              <w:adjustRightInd w:val="0"/>
              <w:snapToGrid w:val="0"/>
              <w:spacing w:line="240" w:lineRule="auto"/>
              <w:jc w:val="center"/>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-0.2925</w:t>
            </w:r>
          </w:p>
        </w:tc>
        <w:tc>
          <w:tcPr>
            <w:tcW w:w="1308" w:type="dxa"/>
            <w:shd w:val="clear" w:color="auto" w:fill="auto"/>
            <w:vAlign w:val="center"/>
          </w:tcPr>
          <w:p w14:paraId="79FB27AC">
            <w:pPr>
              <w:keepNext w:val="0"/>
              <w:keepLines w:val="0"/>
              <w:pageBreakBefore w:val="0"/>
              <w:numPr>
                <w:ilvl w:val="0"/>
                <w:numId w:val="0"/>
              </w:numPr>
              <w:kinsoku/>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cs="Times New Roman" w:eastAsiaTheme="minorEastAsia"/>
                <w:color w:val="auto"/>
                <w:kern w:val="2"/>
                <w:sz w:val="21"/>
                <w:szCs w:val="21"/>
                <w:vertAlign w:val="baseline"/>
                <w:lang w:val="en-US" w:eastAsia="zh-CN" w:bidi="ar-SA"/>
              </w:rPr>
            </w:pPr>
            <w:r>
              <w:rPr>
                <w:rFonts w:hint="eastAsia" w:ascii="Times New Roman" w:hAnsi="Times New Roman" w:cs="Times New Roman"/>
                <w:color w:val="auto"/>
                <w:sz w:val="21"/>
                <w:szCs w:val="21"/>
                <w:vertAlign w:val="baseline"/>
                <w:lang w:val="en-US" w:eastAsia="zh-CN"/>
              </w:rPr>
              <w:t>-24.7</w:t>
            </w:r>
          </w:p>
        </w:tc>
        <w:tc>
          <w:tcPr>
            <w:tcW w:w="1308" w:type="dxa"/>
            <w:shd w:val="clear" w:color="auto" w:fill="auto"/>
            <w:vAlign w:val="center"/>
          </w:tcPr>
          <w:p w14:paraId="4BDA8DE3">
            <w:pPr>
              <w:keepNext w:val="0"/>
              <w:keepLines w:val="0"/>
              <w:pageBreakBefore w:val="0"/>
              <w:numPr>
                <w:ilvl w:val="0"/>
                <w:numId w:val="0"/>
              </w:numPr>
              <w:kinsoku/>
              <w:wordWrap/>
              <w:overflowPunct/>
              <w:topLinePunct w:val="0"/>
              <w:autoSpaceDE/>
              <w:autoSpaceDN/>
              <w:bidi w:val="0"/>
              <w:adjustRightInd w:val="0"/>
              <w:snapToGrid w:val="0"/>
              <w:spacing w:line="240" w:lineRule="auto"/>
              <w:ind w:left="0" w:leftChars="0" w:firstLine="0" w:firstLineChars="0"/>
              <w:jc w:val="center"/>
              <w:rPr>
                <w:rFonts w:hint="eastAsia" w:ascii="Times New Roman" w:hAnsi="Times New Roman" w:cs="Times New Roman" w:eastAsiaTheme="minorEastAsia"/>
                <w:color w:val="auto"/>
                <w:kern w:val="2"/>
                <w:sz w:val="21"/>
                <w:szCs w:val="21"/>
                <w:vertAlign w:val="baseline"/>
                <w:lang w:val="en-US" w:eastAsia="zh-CN" w:bidi="ar-SA"/>
              </w:rPr>
            </w:pPr>
            <w:r>
              <w:rPr>
                <w:rFonts w:hint="eastAsia" w:ascii="Times New Roman" w:hAnsi="Times New Roman" w:cs="Times New Roman"/>
                <w:color w:val="auto"/>
                <w:sz w:val="21"/>
                <w:szCs w:val="21"/>
                <w:vertAlign w:val="baseline"/>
                <w:lang w:val="en-US" w:eastAsia="zh-CN"/>
              </w:rPr>
              <w:t>不属于</w:t>
            </w:r>
          </w:p>
        </w:tc>
      </w:tr>
      <w:tr w14:paraId="3DFBC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7" w:type="dxa"/>
            <w:vMerge w:val="continue"/>
            <w:vAlign w:val="center"/>
          </w:tcPr>
          <w:p w14:paraId="77BAE07B">
            <w:pPr>
              <w:keepNext w:val="0"/>
              <w:keepLines w:val="0"/>
              <w:pageBreakBefore w:val="0"/>
              <w:numPr>
                <w:ilvl w:val="0"/>
                <w:numId w:val="0"/>
              </w:numPr>
              <w:kinsoku/>
              <w:wordWrap/>
              <w:overflowPunct/>
              <w:topLinePunct w:val="0"/>
              <w:autoSpaceDE/>
              <w:autoSpaceDN/>
              <w:bidi w:val="0"/>
              <w:adjustRightInd w:val="0"/>
              <w:snapToGrid w:val="0"/>
              <w:spacing w:line="240" w:lineRule="auto"/>
              <w:jc w:val="center"/>
              <w:rPr>
                <w:rFonts w:hint="eastAsia" w:ascii="Times New Roman" w:hAnsi="Times New Roman" w:cs="Times New Roman"/>
                <w:color w:val="auto"/>
                <w:sz w:val="21"/>
                <w:szCs w:val="21"/>
                <w:vertAlign w:val="baseline"/>
                <w:lang w:val="en-US" w:eastAsia="zh-CN"/>
              </w:rPr>
            </w:pPr>
          </w:p>
        </w:tc>
        <w:tc>
          <w:tcPr>
            <w:tcW w:w="0" w:type="auto"/>
            <w:shd w:val="clear" w:color="auto" w:fill="auto"/>
            <w:vAlign w:val="center"/>
          </w:tcPr>
          <w:p w14:paraId="1D5D303B">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氨</w:t>
            </w:r>
          </w:p>
        </w:tc>
        <w:tc>
          <w:tcPr>
            <w:tcW w:w="0" w:type="auto"/>
            <w:shd w:val="clear" w:color="auto" w:fill="auto"/>
            <w:vAlign w:val="center"/>
          </w:tcPr>
          <w:p w14:paraId="09C0E4C7">
            <w:pPr>
              <w:keepNext w:val="0"/>
              <w:keepLines w:val="0"/>
              <w:pageBreakBefore w:val="0"/>
              <w:kinsoku/>
              <w:wordWrap/>
              <w:overflowPunct/>
              <w:topLinePunct w:val="0"/>
              <w:autoSpaceDE/>
              <w:autoSpaceDN/>
              <w:bidi w:val="0"/>
              <w:spacing w:line="240" w:lineRule="auto"/>
              <w:jc w:val="center"/>
              <w:rPr>
                <w:rFonts w:hint="eastAsia"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0.0029</w:t>
            </w:r>
          </w:p>
        </w:tc>
        <w:tc>
          <w:tcPr>
            <w:tcW w:w="0" w:type="auto"/>
            <w:shd w:val="clear" w:color="auto" w:fill="auto"/>
            <w:vAlign w:val="center"/>
          </w:tcPr>
          <w:p w14:paraId="59049CDE">
            <w:pPr>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0.0028</w:t>
            </w:r>
          </w:p>
        </w:tc>
        <w:tc>
          <w:tcPr>
            <w:tcW w:w="0" w:type="auto"/>
            <w:vAlign w:val="center"/>
          </w:tcPr>
          <w:p w14:paraId="1E3625B3">
            <w:pPr>
              <w:keepNext w:val="0"/>
              <w:keepLines w:val="0"/>
              <w:pageBreakBefore w:val="0"/>
              <w:numPr>
                <w:ilvl w:val="0"/>
                <w:numId w:val="0"/>
              </w:numPr>
              <w:kinsoku/>
              <w:wordWrap/>
              <w:overflowPunct/>
              <w:topLinePunct w:val="0"/>
              <w:autoSpaceDE/>
              <w:autoSpaceDN/>
              <w:bidi w:val="0"/>
              <w:adjustRightInd w:val="0"/>
              <w:snapToGrid w:val="0"/>
              <w:spacing w:line="240" w:lineRule="auto"/>
              <w:jc w:val="center"/>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-0.0001</w:t>
            </w:r>
          </w:p>
        </w:tc>
        <w:tc>
          <w:tcPr>
            <w:tcW w:w="0" w:type="auto"/>
            <w:shd w:val="clear" w:color="auto" w:fill="auto"/>
            <w:vAlign w:val="center"/>
          </w:tcPr>
          <w:p w14:paraId="1DEB7007">
            <w:pPr>
              <w:keepNext w:val="0"/>
              <w:keepLines w:val="0"/>
              <w:pageBreakBefore w:val="0"/>
              <w:numPr>
                <w:ilvl w:val="0"/>
                <w:numId w:val="0"/>
              </w:numPr>
              <w:kinsoku/>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cs="Times New Roman" w:eastAsiaTheme="minorEastAsia"/>
                <w:color w:val="auto"/>
                <w:kern w:val="2"/>
                <w:sz w:val="21"/>
                <w:szCs w:val="21"/>
                <w:vertAlign w:val="baseline"/>
                <w:lang w:val="en-US" w:eastAsia="zh-CN" w:bidi="ar-SA"/>
              </w:rPr>
            </w:pPr>
            <w:r>
              <w:rPr>
                <w:rFonts w:hint="eastAsia" w:ascii="Times New Roman" w:hAnsi="Times New Roman" w:cs="Times New Roman"/>
                <w:color w:val="auto"/>
                <w:sz w:val="21"/>
                <w:szCs w:val="21"/>
                <w:vertAlign w:val="baseline"/>
                <w:lang w:val="en-US" w:eastAsia="zh-CN"/>
              </w:rPr>
              <w:t>-34.5</w:t>
            </w:r>
          </w:p>
        </w:tc>
        <w:tc>
          <w:tcPr>
            <w:tcW w:w="0" w:type="auto"/>
            <w:shd w:val="clear" w:color="auto" w:fill="auto"/>
            <w:vAlign w:val="center"/>
          </w:tcPr>
          <w:p w14:paraId="10C23C49">
            <w:pPr>
              <w:keepNext w:val="0"/>
              <w:keepLines w:val="0"/>
              <w:pageBreakBefore w:val="0"/>
              <w:numPr>
                <w:ilvl w:val="0"/>
                <w:numId w:val="0"/>
              </w:numPr>
              <w:kinsoku/>
              <w:wordWrap/>
              <w:overflowPunct/>
              <w:topLinePunct w:val="0"/>
              <w:autoSpaceDE/>
              <w:autoSpaceDN/>
              <w:bidi w:val="0"/>
              <w:adjustRightInd w:val="0"/>
              <w:snapToGrid w:val="0"/>
              <w:spacing w:line="240" w:lineRule="auto"/>
              <w:ind w:left="0" w:leftChars="0" w:firstLine="0" w:firstLineChars="0"/>
              <w:jc w:val="center"/>
              <w:rPr>
                <w:rFonts w:hint="eastAsia" w:ascii="Times New Roman" w:hAnsi="Times New Roman" w:cs="Times New Roman" w:eastAsiaTheme="minorEastAsia"/>
                <w:color w:val="auto"/>
                <w:kern w:val="2"/>
                <w:sz w:val="21"/>
                <w:szCs w:val="21"/>
                <w:vertAlign w:val="baseline"/>
                <w:lang w:val="en-US" w:eastAsia="zh-CN" w:bidi="ar-SA"/>
              </w:rPr>
            </w:pPr>
            <w:r>
              <w:rPr>
                <w:rFonts w:hint="eastAsia" w:ascii="Times New Roman" w:hAnsi="Times New Roman" w:cs="Times New Roman"/>
                <w:color w:val="auto"/>
                <w:sz w:val="21"/>
                <w:szCs w:val="21"/>
                <w:vertAlign w:val="baseline"/>
                <w:lang w:val="en-US" w:eastAsia="zh-CN"/>
              </w:rPr>
              <w:t>不属于</w:t>
            </w:r>
          </w:p>
        </w:tc>
      </w:tr>
    </w:tbl>
    <w:p w14:paraId="00A2785D">
      <w:pPr>
        <w:numPr>
          <w:ilvl w:val="0"/>
          <w:numId w:val="0"/>
        </w:numPr>
        <w:adjustRightInd w:val="0"/>
        <w:snapToGrid w:val="0"/>
        <w:spacing w:line="360" w:lineRule="auto"/>
        <w:ind w:firstLine="480" w:firstLineChars="200"/>
        <w:rPr>
          <w:rFonts w:hint="eastAsia" w:ascii="Times New Roman" w:hAnsi="Times New Roman" w:cs="Times New Roman"/>
          <w:color w:val="auto"/>
          <w:sz w:val="24"/>
          <w:lang w:val="en-US" w:eastAsia="zh-CN"/>
        </w:rPr>
      </w:pPr>
      <w:r>
        <w:rPr>
          <w:rFonts w:hint="eastAsia" w:ascii="Times New Roman" w:hAnsi="Times New Roman" w:cs="Times New Roman"/>
          <w:color w:val="auto"/>
          <w:sz w:val="24"/>
          <w:lang w:val="en-US" w:eastAsia="zh-CN"/>
        </w:rPr>
        <w:t>项目变动后，有组织废气颗粒物排放量减少0.8067t/a，有组织氨排放量减少0.1418t/a，无组织颗粒物排放量减少0.2925t/a，无组织氨排放量减少0.0001t/a，不属于重大变动。</w:t>
      </w:r>
    </w:p>
    <w:p w14:paraId="2D9B0EA2">
      <w:pPr>
        <w:numPr>
          <w:ilvl w:val="0"/>
          <w:numId w:val="0"/>
        </w:numPr>
        <w:adjustRightInd w:val="0"/>
        <w:snapToGrid w:val="0"/>
        <w:spacing w:line="360" w:lineRule="auto"/>
        <w:ind w:firstLine="482" w:firstLineChars="200"/>
        <w:outlineLvl w:val="2"/>
        <w:rPr>
          <w:rFonts w:hint="eastAsia" w:ascii="Times New Roman" w:hAnsi="Times New Roman" w:cs="Times New Roman"/>
          <w:b/>
          <w:bCs/>
          <w:color w:val="auto"/>
          <w:sz w:val="24"/>
          <w:lang w:val="en-US" w:eastAsia="zh-CN"/>
        </w:rPr>
      </w:pPr>
      <w:r>
        <w:rPr>
          <w:rFonts w:hint="eastAsia" w:ascii="Times New Roman" w:hAnsi="Times New Roman" w:cs="Times New Roman"/>
          <w:b/>
          <w:bCs/>
          <w:color w:val="auto"/>
          <w:sz w:val="24"/>
          <w:lang w:val="en-US" w:eastAsia="zh-CN"/>
        </w:rPr>
        <w:t>3.2.3噪声</w:t>
      </w:r>
    </w:p>
    <w:p w14:paraId="4BC17E6F">
      <w:pPr>
        <w:numPr>
          <w:ilvl w:val="0"/>
          <w:numId w:val="0"/>
        </w:numPr>
        <w:adjustRightInd w:val="0"/>
        <w:snapToGrid w:val="0"/>
        <w:spacing w:line="360" w:lineRule="auto"/>
        <w:ind w:firstLine="480" w:firstLineChars="200"/>
        <w:rPr>
          <w:rFonts w:hint="eastAsia" w:ascii="Times New Roman" w:hAnsi="Times New Roman" w:cs="Times New Roman"/>
          <w:color w:val="auto"/>
          <w:sz w:val="24"/>
          <w:lang w:val="en-US" w:eastAsia="zh-CN"/>
        </w:rPr>
      </w:pPr>
      <w:r>
        <w:rPr>
          <w:rFonts w:hint="eastAsia" w:ascii="Times New Roman" w:hAnsi="Times New Roman" w:cs="Times New Roman"/>
          <w:color w:val="auto"/>
          <w:sz w:val="24"/>
          <w:lang w:val="en-US" w:eastAsia="zh-CN"/>
        </w:rPr>
        <w:t>项目噪声源不变，项目边界噪声满足《工业企业厂界环境噪声排放标准》（GB12348-2008）3类区标准。</w:t>
      </w:r>
    </w:p>
    <w:p w14:paraId="0307E204">
      <w:pPr>
        <w:numPr>
          <w:ilvl w:val="0"/>
          <w:numId w:val="0"/>
        </w:numPr>
        <w:adjustRightInd w:val="0"/>
        <w:snapToGrid w:val="0"/>
        <w:spacing w:line="360" w:lineRule="auto"/>
        <w:ind w:firstLine="480" w:firstLineChars="200"/>
        <w:rPr>
          <w:rFonts w:hint="eastAsia" w:ascii="Times New Roman" w:hAnsi="Times New Roman" w:cs="Times New Roman"/>
          <w:color w:val="auto"/>
          <w:sz w:val="24"/>
          <w:lang w:val="en-US" w:eastAsia="zh-CN"/>
        </w:rPr>
      </w:pPr>
      <w:r>
        <w:rPr>
          <w:rFonts w:hint="eastAsia" w:ascii="Times New Roman" w:hAnsi="Times New Roman" w:cs="Times New Roman"/>
          <w:color w:val="auto"/>
          <w:sz w:val="24"/>
          <w:lang w:val="en-US" w:eastAsia="zh-CN"/>
        </w:rPr>
        <w:t>因此，原环评报告噪声影响分析结论不变。</w:t>
      </w:r>
    </w:p>
    <w:p w14:paraId="009A2237">
      <w:pPr>
        <w:numPr>
          <w:ilvl w:val="0"/>
          <w:numId w:val="0"/>
        </w:numPr>
        <w:adjustRightInd w:val="0"/>
        <w:snapToGrid w:val="0"/>
        <w:spacing w:line="360" w:lineRule="auto"/>
        <w:ind w:firstLine="482" w:firstLineChars="200"/>
        <w:outlineLvl w:val="2"/>
        <w:rPr>
          <w:rFonts w:hint="eastAsia" w:ascii="Times New Roman" w:hAnsi="Times New Roman" w:cs="Times New Roman"/>
          <w:b/>
          <w:bCs/>
          <w:color w:val="auto"/>
          <w:sz w:val="24"/>
          <w:lang w:val="en-US" w:eastAsia="zh-CN"/>
        </w:rPr>
      </w:pPr>
      <w:r>
        <w:rPr>
          <w:rFonts w:hint="eastAsia" w:ascii="Times New Roman" w:hAnsi="Times New Roman" w:cs="Times New Roman"/>
          <w:b/>
          <w:bCs/>
          <w:color w:val="auto"/>
          <w:sz w:val="24"/>
          <w:lang w:val="en-US" w:eastAsia="zh-CN"/>
        </w:rPr>
        <w:t>3.2.4固废</w:t>
      </w:r>
    </w:p>
    <w:p w14:paraId="694B6F1D">
      <w:pPr>
        <w:numPr>
          <w:ilvl w:val="0"/>
          <w:numId w:val="0"/>
        </w:numPr>
        <w:adjustRightInd w:val="0"/>
        <w:snapToGrid w:val="0"/>
        <w:spacing w:line="360" w:lineRule="auto"/>
        <w:ind w:firstLine="480" w:firstLineChars="200"/>
        <w:rPr>
          <w:rFonts w:hint="eastAsia" w:ascii="Times New Roman" w:hAnsi="Times New Roman" w:cs="Times New Roman"/>
          <w:color w:val="auto"/>
          <w:sz w:val="24"/>
          <w:lang w:val="en-US" w:eastAsia="zh-CN"/>
        </w:rPr>
      </w:pPr>
      <w:r>
        <w:rPr>
          <w:rFonts w:hint="eastAsia" w:ascii="Times New Roman" w:hAnsi="Times New Roman" w:cs="Times New Roman"/>
          <w:color w:val="auto"/>
          <w:sz w:val="24"/>
          <w:lang w:val="en-US" w:eastAsia="zh-CN"/>
        </w:rPr>
        <w:t>项目固体废物产生量不变，一般固废库和危险固废库均按要求设置，符合环保要求，危废定期委托资质单位处理。与环评一致。</w:t>
      </w:r>
    </w:p>
    <w:p w14:paraId="442A4DE6">
      <w:pPr>
        <w:numPr>
          <w:ilvl w:val="0"/>
          <w:numId w:val="0"/>
        </w:numPr>
        <w:adjustRightInd w:val="0"/>
        <w:snapToGrid w:val="0"/>
        <w:spacing w:line="360" w:lineRule="auto"/>
        <w:ind w:leftChars="200"/>
        <w:rPr>
          <w:rFonts w:hint="eastAsia" w:ascii="Times New Roman" w:hAnsi="Times New Roman" w:cs="Times New Roman"/>
          <w:color w:val="auto"/>
          <w:sz w:val="24"/>
          <w:lang w:val="en-US" w:eastAsia="zh-CN"/>
        </w:rPr>
      </w:pPr>
      <w:r>
        <w:rPr>
          <w:rFonts w:hint="eastAsia" w:ascii="Times New Roman" w:hAnsi="Times New Roman" w:cs="Times New Roman"/>
          <w:color w:val="auto"/>
          <w:sz w:val="24"/>
          <w:lang w:val="en-US" w:eastAsia="zh-CN"/>
        </w:rPr>
        <w:t>因此，原环评报告中对项目的固废处置分析结论不变。</w:t>
      </w:r>
    </w:p>
    <w:p w14:paraId="49CF8FA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outlineLvl w:val="1"/>
        <w:rPr>
          <w:rFonts w:hint="eastAsia" w:ascii="Times New Roman" w:hAnsi="Times New Roman" w:cs="Times New Roman"/>
          <w:b/>
          <w:bCs/>
          <w:sz w:val="24"/>
          <w:szCs w:val="32"/>
          <w:lang w:val="en-US" w:eastAsia="zh-CN"/>
        </w:rPr>
      </w:pPr>
      <w:r>
        <w:rPr>
          <w:rFonts w:hint="eastAsia" w:ascii="Times New Roman" w:hAnsi="Times New Roman" w:cs="Times New Roman"/>
          <w:b/>
          <w:bCs/>
          <w:sz w:val="24"/>
          <w:szCs w:val="32"/>
          <w:lang w:val="en-US" w:eastAsia="zh-CN"/>
        </w:rPr>
        <w:t>3.2项目变动前后环境风险源变化情况</w:t>
      </w:r>
    </w:p>
    <w:p w14:paraId="4A240384">
      <w:pPr>
        <w:numPr>
          <w:ilvl w:val="0"/>
          <w:numId w:val="0"/>
        </w:numPr>
        <w:adjustRightInd w:val="0"/>
        <w:snapToGrid w:val="0"/>
        <w:spacing w:line="360" w:lineRule="auto"/>
        <w:ind w:firstLine="480" w:firstLineChars="200"/>
        <w:rPr>
          <w:rFonts w:hint="eastAsia" w:ascii="Times New Roman" w:hAnsi="Times New Roman" w:cs="Times New Roman"/>
          <w:color w:val="auto"/>
          <w:sz w:val="24"/>
          <w:lang w:val="en-US" w:eastAsia="zh-CN"/>
        </w:rPr>
      </w:pPr>
      <w:r>
        <w:rPr>
          <w:rFonts w:hint="eastAsia" w:ascii="Times New Roman" w:hAnsi="Times New Roman" w:cs="Times New Roman"/>
          <w:color w:val="auto"/>
          <w:sz w:val="24"/>
          <w:lang w:val="en-US" w:eastAsia="zh-CN"/>
        </w:rPr>
        <w:t>本项目变动后，风险物质、风险源及风险措施不变。</w:t>
      </w:r>
    </w:p>
    <w:p w14:paraId="3EB4CDA1">
      <w:pPr>
        <w:numPr>
          <w:ilvl w:val="0"/>
          <w:numId w:val="0"/>
        </w:numPr>
        <w:adjustRightInd w:val="0"/>
        <w:snapToGrid w:val="0"/>
        <w:spacing w:line="360" w:lineRule="auto"/>
        <w:ind w:firstLine="480" w:firstLineChars="200"/>
        <w:rPr>
          <w:rFonts w:hint="eastAsia" w:ascii="Times New Roman" w:hAnsi="Times New Roman" w:cs="Times New Roman"/>
          <w:color w:val="auto"/>
          <w:sz w:val="24"/>
          <w:lang w:val="en-US" w:eastAsia="zh-CN"/>
        </w:rPr>
      </w:pPr>
      <w:r>
        <w:rPr>
          <w:rFonts w:hint="eastAsia" w:ascii="Times New Roman" w:hAnsi="Times New Roman" w:cs="Times New Roman"/>
          <w:color w:val="auto"/>
          <w:sz w:val="24"/>
          <w:lang w:val="en-US" w:eastAsia="zh-CN"/>
        </w:rPr>
        <w:t>因此，原环评报告中对环境风险分析结论不变。</w:t>
      </w:r>
    </w:p>
    <w:p w14:paraId="722C44C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jc w:val="both"/>
        <w:textAlignment w:val="auto"/>
        <w:outlineLvl w:val="0"/>
        <w:rPr>
          <w:rFonts w:hint="eastAsia" w:ascii="Times New Roman" w:hAnsi="Times New Roman" w:cs="Times New Roman"/>
          <w:b/>
          <w:bCs/>
          <w:sz w:val="28"/>
          <w:szCs w:val="36"/>
          <w:lang w:eastAsia="zh-CN"/>
        </w:rPr>
      </w:pPr>
      <w:r>
        <w:rPr>
          <w:rFonts w:hint="eastAsia" w:ascii="Times New Roman" w:hAnsi="Times New Roman" w:cs="Times New Roman"/>
          <w:b/>
          <w:bCs/>
          <w:sz w:val="28"/>
          <w:szCs w:val="36"/>
          <w:lang w:eastAsia="zh-CN"/>
        </w:rPr>
        <w:t>四、结论</w:t>
      </w:r>
    </w:p>
    <w:p w14:paraId="0249526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lang w:val="en-US" w:eastAsia="zh-CN"/>
        </w:rPr>
      </w:pPr>
      <w:r>
        <w:rPr>
          <w:rFonts w:hint="default" w:ascii="Times New Roman" w:hAnsi="Times New Roman" w:cs="Times New Roman"/>
          <w:color w:val="auto"/>
          <w:sz w:val="24"/>
          <w:lang w:val="en-US" w:eastAsia="zh-CN"/>
        </w:rPr>
        <w:t>根据《污染影响类建设项目重大变动清单（试行）》</w:t>
      </w:r>
      <w:r>
        <w:rPr>
          <w:rFonts w:hint="eastAsia" w:ascii="Times New Roman" w:hAnsi="Times New Roman" w:cs="Times New Roman"/>
          <w:sz w:val="24"/>
          <w:szCs w:val="32"/>
          <w:lang w:val="en-US" w:eastAsia="zh-CN"/>
        </w:rPr>
        <w:t>（环办环评函</w:t>
      </w:r>
      <w:r>
        <w:rPr>
          <w:rFonts w:hint="default" w:ascii="Times New Roman" w:hAnsi="Times New Roman" w:cs="Times New Roman"/>
          <w:sz w:val="24"/>
          <w:szCs w:val="32"/>
          <w:lang w:val="en-US" w:eastAsia="zh-CN"/>
        </w:rPr>
        <w:t>[202</w:t>
      </w:r>
      <w:r>
        <w:rPr>
          <w:rFonts w:hint="eastAsia" w:ascii="Times New Roman" w:hAnsi="Times New Roman" w:cs="Times New Roman"/>
          <w:sz w:val="24"/>
          <w:szCs w:val="32"/>
          <w:lang w:val="en-US" w:eastAsia="zh-CN"/>
        </w:rPr>
        <w:t>0</w:t>
      </w:r>
      <w:r>
        <w:rPr>
          <w:rFonts w:hint="default" w:ascii="Times New Roman" w:hAnsi="Times New Roman" w:cs="Times New Roman"/>
          <w:sz w:val="24"/>
          <w:szCs w:val="32"/>
          <w:lang w:val="en-US" w:eastAsia="zh-CN"/>
        </w:rPr>
        <w:t>]</w:t>
      </w:r>
      <w:r>
        <w:rPr>
          <w:rFonts w:hint="eastAsia" w:ascii="Times New Roman" w:hAnsi="Times New Roman" w:cs="Times New Roman"/>
          <w:sz w:val="24"/>
          <w:szCs w:val="32"/>
          <w:lang w:val="en-US" w:eastAsia="zh-CN"/>
        </w:rPr>
        <w:t>688</w:t>
      </w:r>
      <w:r>
        <w:rPr>
          <w:rFonts w:hint="default" w:ascii="Times New Roman" w:hAnsi="Times New Roman" w:cs="Times New Roman"/>
          <w:sz w:val="24"/>
          <w:szCs w:val="32"/>
          <w:lang w:val="en-US" w:eastAsia="zh-CN"/>
        </w:rPr>
        <w:t>号</w:t>
      </w:r>
      <w:r>
        <w:rPr>
          <w:rFonts w:hint="eastAsia" w:ascii="Times New Roman" w:hAnsi="Times New Roman" w:cs="Times New Roman"/>
          <w:sz w:val="24"/>
          <w:szCs w:val="32"/>
          <w:lang w:val="en-US" w:eastAsia="zh-CN"/>
        </w:rPr>
        <w:t>）</w:t>
      </w:r>
      <w:r>
        <w:rPr>
          <w:rFonts w:hint="default" w:ascii="Times New Roman" w:hAnsi="Times New Roman" w:cs="Times New Roman"/>
          <w:color w:val="auto"/>
          <w:sz w:val="24"/>
          <w:lang w:val="en-US" w:eastAsia="zh-CN"/>
        </w:rPr>
        <w:t>，并结合本项目变动的内容，判断项目属于非重大变动。</w:t>
      </w:r>
    </w:p>
    <w:p w14:paraId="1F3BBEC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lang w:val="en-US" w:eastAsia="zh-CN"/>
        </w:rPr>
      </w:pPr>
      <w:r>
        <w:rPr>
          <w:rFonts w:hint="default" w:ascii="Times New Roman" w:hAnsi="Times New Roman" w:cs="Times New Roman"/>
          <w:color w:val="auto"/>
          <w:sz w:val="24"/>
          <w:lang w:val="en-US" w:eastAsia="zh-CN"/>
        </w:rPr>
        <w:t>项目变动后，废气污染源</w:t>
      </w:r>
      <w:r>
        <w:rPr>
          <w:rFonts w:hint="eastAsia" w:ascii="Times New Roman" w:hAnsi="Times New Roman" w:cs="Times New Roman"/>
          <w:color w:val="auto"/>
          <w:sz w:val="24"/>
          <w:lang w:val="en-US" w:eastAsia="zh-CN"/>
        </w:rPr>
        <w:t>颗粒物排放拉怪增加，其他废气因子排放量不变，</w:t>
      </w:r>
      <w:r>
        <w:rPr>
          <w:rFonts w:hint="default" w:ascii="Times New Roman" w:hAnsi="Times New Roman" w:cs="Times New Roman"/>
          <w:color w:val="auto"/>
          <w:sz w:val="24"/>
          <w:lang w:val="en-US" w:eastAsia="zh-CN"/>
        </w:rPr>
        <w:t>废水</w:t>
      </w:r>
      <w:r>
        <w:rPr>
          <w:rFonts w:hint="eastAsia" w:ascii="Times New Roman" w:hAnsi="Times New Roman" w:cs="Times New Roman"/>
          <w:color w:val="auto"/>
          <w:sz w:val="24"/>
          <w:lang w:val="en-US" w:eastAsia="zh-CN"/>
        </w:rPr>
        <w:t>、噪声、固体废物均不发生变化</w:t>
      </w:r>
      <w:r>
        <w:rPr>
          <w:rFonts w:hint="default" w:ascii="Times New Roman" w:hAnsi="Times New Roman" w:cs="Times New Roman"/>
          <w:color w:val="auto"/>
          <w:sz w:val="24"/>
          <w:lang w:val="en-US" w:eastAsia="zh-CN"/>
        </w:rPr>
        <w:t>。在全面落实原环评报告中提出的相应污染物治理措施后，各类污染物的排放能满足国家和地方环境保护法规和标准，对周围环境影响不大，项目变动不会降低区域环境功能等级。由以上分析可见，本项目变动属于非重大变动，项目变动不影响原环评报告“从环境保护角度看</w:t>
      </w:r>
      <w:r>
        <w:rPr>
          <w:rFonts w:hint="eastAsia" w:ascii="Times New Roman" w:hAnsi="Times New Roman" w:cs="Times New Roman"/>
          <w:color w:val="auto"/>
          <w:sz w:val="24"/>
          <w:lang w:val="en-US" w:eastAsia="zh-CN"/>
        </w:rPr>
        <w:t>项目建设可行</w:t>
      </w:r>
      <w:r>
        <w:rPr>
          <w:rFonts w:hint="default" w:ascii="Times New Roman" w:hAnsi="Times New Roman" w:cs="Times New Roman"/>
          <w:color w:val="auto"/>
          <w:sz w:val="24"/>
          <w:lang w:val="en-US" w:eastAsia="zh-CN"/>
        </w:rPr>
        <w:t>”结论。</w:t>
      </w:r>
    </w:p>
    <w:sectPr>
      <w:pgSz w:w="11906" w:h="16838"/>
      <w:pgMar w:top="1701" w:right="1440" w:bottom="1701"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75D56">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BD72BF">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EBD72BF">
                    <w:pPr>
                      <w:pStyle w:val="11"/>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0NTI5YjkyZDEzNGIyN2MxNmFmYWFlMGVlNzcwNmYifQ=="/>
  </w:docVars>
  <w:rsids>
    <w:rsidRoot w:val="00000000"/>
    <w:rsid w:val="02225B04"/>
    <w:rsid w:val="08F5187C"/>
    <w:rsid w:val="0C741652"/>
    <w:rsid w:val="0E0D3EB5"/>
    <w:rsid w:val="0EAE0E4B"/>
    <w:rsid w:val="10DB0515"/>
    <w:rsid w:val="126A32DB"/>
    <w:rsid w:val="158B0B44"/>
    <w:rsid w:val="173E4EA7"/>
    <w:rsid w:val="1B0342CC"/>
    <w:rsid w:val="1DFC3255"/>
    <w:rsid w:val="1E10754E"/>
    <w:rsid w:val="1E42510C"/>
    <w:rsid w:val="23CB7951"/>
    <w:rsid w:val="24912949"/>
    <w:rsid w:val="25592D3B"/>
    <w:rsid w:val="27595274"/>
    <w:rsid w:val="28E876AC"/>
    <w:rsid w:val="295C3E62"/>
    <w:rsid w:val="298E3357"/>
    <w:rsid w:val="2AFF3913"/>
    <w:rsid w:val="2D6A0F27"/>
    <w:rsid w:val="2F922B5A"/>
    <w:rsid w:val="34A23EFA"/>
    <w:rsid w:val="366B28CE"/>
    <w:rsid w:val="36D16BD5"/>
    <w:rsid w:val="36FC6348"/>
    <w:rsid w:val="398A47FD"/>
    <w:rsid w:val="3EC43394"/>
    <w:rsid w:val="3F890995"/>
    <w:rsid w:val="3FEC0F24"/>
    <w:rsid w:val="4FAE32F2"/>
    <w:rsid w:val="50F375F0"/>
    <w:rsid w:val="52EA6447"/>
    <w:rsid w:val="535844AE"/>
    <w:rsid w:val="53CC27A6"/>
    <w:rsid w:val="53F266B1"/>
    <w:rsid w:val="57E44FA2"/>
    <w:rsid w:val="5A787A62"/>
    <w:rsid w:val="66AF0431"/>
    <w:rsid w:val="68534DEC"/>
    <w:rsid w:val="6E470F4F"/>
    <w:rsid w:val="71306613"/>
    <w:rsid w:val="713F78E6"/>
    <w:rsid w:val="71AF12E6"/>
    <w:rsid w:val="743B1556"/>
    <w:rsid w:val="755A1EB0"/>
    <w:rsid w:val="75726811"/>
    <w:rsid w:val="762A53DF"/>
    <w:rsid w:val="76E174AB"/>
    <w:rsid w:val="7B20189E"/>
    <w:rsid w:val="7BC02341"/>
    <w:rsid w:val="7BDD482D"/>
    <w:rsid w:val="7C7C6B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99"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qFormat/>
    <w:uiPriority w:val="0"/>
    <w:pPr>
      <w:keepNext/>
      <w:keepLines/>
      <w:spacing w:line="500" w:lineRule="exact"/>
      <w:outlineLvl w:val="1"/>
    </w:pPr>
    <w:rPr>
      <w:rFonts w:ascii="Arial" w:hAnsi="Arial" w:eastAsia="仿宋_GB2312"/>
      <w:b/>
      <w:sz w:val="28"/>
      <w:szCs w:val="20"/>
    </w:rPr>
  </w:style>
  <w:style w:type="character" w:default="1" w:styleId="16">
    <w:name w:val="Default Paragraph Font"/>
    <w:autoRedefine/>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2">
    <w:name w:val="Default"/>
    <w:basedOn w:val="3"/>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3">
    <w:name w:val="纯文本1"/>
    <w:basedOn w:val="1"/>
    <w:qFormat/>
    <w:uiPriority w:val="0"/>
    <w:pPr>
      <w:spacing w:line="360" w:lineRule="auto"/>
      <w:ind w:firstLine="200" w:firstLineChars="200"/>
    </w:pPr>
    <w:rPr>
      <w:rFonts w:eastAsia="楷体_GB2312"/>
      <w:kern w:val="0"/>
      <w:sz w:val="28"/>
      <w:szCs w:val="28"/>
      <w:lang w:val="zh-CN" w:eastAsia="en-US"/>
    </w:rPr>
  </w:style>
  <w:style w:type="paragraph" w:styleId="5">
    <w:name w:val="Salutation"/>
    <w:basedOn w:val="1"/>
    <w:next w:val="1"/>
    <w:unhideWhenUsed/>
    <w:qFormat/>
    <w:uiPriority w:val="99"/>
  </w:style>
  <w:style w:type="paragraph" w:styleId="6">
    <w:name w:val="Body Text"/>
    <w:basedOn w:val="1"/>
    <w:next w:val="1"/>
    <w:qFormat/>
    <w:uiPriority w:val="0"/>
    <w:pPr>
      <w:spacing w:after="120"/>
    </w:pPr>
    <w:rPr>
      <w:rFonts w:ascii="宋体" w:hAnsi="宋体"/>
      <w:sz w:val="24"/>
      <w:szCs w:val="20"/>
    </w:rPr>
  </w:style>
  <w:style w:type="paragraph" w:styleId="7">
    <w:name w:val="Body Text Indent"/>
    <w:basedOn w:val="1"/>
    <w:next w:val="8"/>
    <w:semiHidden/>
    <w:qFormat/>
    <w:uiPriority w:val="0"/>
    <w:pPr>
      <w:spacing w:after="120"/>
      <w:ind w:left="420" w:leftChars="200"/>
    </w:pPr>
  </w:style>
  <w:style w:type="paragraph" w:styleId="8">
    <w:name w:val="Body Text Indent 2"/>
    <w:basedOn w:val="1"/>
    <w:next w:val="9"/>
    <w:qFormat/>
    <w:uiPriority w:val="0"/>
    <w:pPr>
      <w:spacing w:after="120" w:afterLines="0" w:line="480" w:lineRule="auto"/>
      <w:ind w:left="420" w:leftChars="200"/>
    </w:pPr>
  </w:style>
  <w:style w:type="paragraph" w:styleId="9">
    <w:name w:val="Body Text First Indent 2"/>
    <w:basedOn w:val="7"/>
    <w:next w:val="1"/>
    <w:qFormat/>
    <w:uiPriority w:val="0"/>
    <w:pPr>
      <w:spacing w:after="120"/>
      <w:ind w:left="420" w:leftChars="200" w:firstLine="210" w:firstLineChars="200"/>
    </w:pPr>
    <w:rPr>
      <w:sz w:val="21"/>
    </w:rPr>
  </w:style>
  <w:style w:type="paragraph" w:styleId="10">
    <w:name w:val="Plain Text"/>
    <w:basedOn w:val="1"/>
    <w:next w:val="5"/>
    <w:qFormat/>
    <w:uiPriority w:val="0"/>
    <w:pPr>
      <w:adjustRightInd w:val="0"/>
      <w:spacing w:before="120" w:beforeLines="0" w:line="400" w:lineRule="exact"/>
      <w:textAlignment w:val="baseline"/>
    </w:pPr>
    <w:rPr>
      <w:rFonts w:ascii="宋体" w:hAnsi="Courier New"/>
      <w:spacing w:val="-2"/>
      <w:kern w:val="28"/>
      <w:szCs w:val="20"/>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2"/>
    <w:basedOn w:val="1"/>
    <w:next w:val="1"/>
    <w:qFormat/>
    <w:uiPriority w:val="0"/>
    <w:pPr>
      <w:ind w:left="420" w:leftChars="200"/>
    </w:pPr>
  </w:style>
  <w:style w:type="table" w:styleId="15">
    <w:name w:val="Table Grid"/>
    <w:basedOn w:val="14"/>
    <w:qFormat/>
    <w:uiPriority w:val="0"/>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样式36"/>
    <w:basedOn w:val="1"/>
    <w:autoRedefine/>
    <w:qFormat/>
    <w:uiPriority w:val="0"/>
    <w:pPr>
      <w:adjustRightInd w:val="0"/>
      <w:snapToGrid w:val="0"/>
      <w:spacing w:line="360" w:lineRule="auto"/>
      <w:ind w:firstLine="1040" w:firstLineChars="200"/>
    </w:pPr>
    <w:rPr>
      <w:rFonts w:ascii="Times New Roman" w:hAnsi="Times New Roman"/>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10702</Words>
  <Characters>11966</Characters>
  <Lines>0</Lines>
  <Paragraphs>0</Paragraphs>
  <TotalTime>9</TotalTime>
  <ScaleCrop>false</ScaleCrop>
  <LinksUpToDate>false</LinksUpToDate>
  <CharactersWithSpaces>12008</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2021-01-31T03:30:00Z</dcterms:created>
  <dc:creator>Administrator</dc:creator>
  <cp:lastModifiedBy>半枳桃、</cp:lastModifiedBy>
  <dcterms:modified xsi:type="dcterms:W3CDTF">2024-09-25T06:04:34Z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6B3469753BA44A3698A6BA8A0E5DF4FC</vt:lpwstr>
  </property>
</Properties>
</file>